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FEEE" w14:textId="77777777" w:rsidR="00125796" w:rsidRDefault="00125796" w:rsidP="00A26D13">
      <w:pPr>
        <w:autoSpaceDE w:val="0"/>
        <w:autoSpaceDN w:val="0"/>
        <w:adjustRightInd w:val="0"/>
        <w:spacing w:after="0" w:line="240" w:lineRule="auto"/>
        <w:ind w:left="5670" w:right="-143"/>
        <w:rPr>
          <w:rFonts w:ascii="Times New Roman" w:eastAsia="Times New Roman" w:hAnsi="Times New Roman" w:cs="Times New Roman"/>
          <w:color w:val="000000"/>
          <w:sz w:val="24"/>
          <w:szCs w:val="24"/>
          <w:lang w:eastAsia="ru-RU"/>
        </w:rPr>
      </w:pPr>
      <w:r w:rsidRPr="003A5DE9">
        <w:rPr>
          <w:rFonts w:ascii="Times New Roman" w:eastAsia="Times New Roman" w:hAnsi="Times New Roman" w:cs="Times New Roman"/>
          <w:color w:val="000000"/>
          <w:sz w:val="24"/>
          <w:szCs w:val="24"/>
          <w:lang w:eastAsia="ru-RU"/>
        </w:rPr>
        <w:t>Додаток</w:t>
      </w:r>
    </w:p>
    <w:p w14:paraId="27C228BC" w14:textId="2A310689" w:rsidR="00AE3496" w:rsidRDefault="00A26D13" w:rsidP="00A26D13">
      <w:pPr>
        <w:autoSpaceDE w:val="0"/>
        <w:autoSpaceDN w:val="0"/>
        <w:adjustRightInd w:val="0"/>
        <w:spacing w:after="0" w:line="240" w:lineRule="auto"/>
        <w:ind w:left="5670" w:right="-14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00AE3496">
        <w:rPr>
          <w:rFonts w:ascii="Times New Roman" w:eastAsia="Times New Roman" w:hAnsi="Times New Roman" w:cs="Times New Roman"/>
          <w:color w:val="000000"/>
          <w:sz w:val="24"/>
          <w:szCs w:val="24"/>
          <w:lang w:eastAsia="ru-RU"/>
        </w:rPr>
        <w:t>о рішення Наглядової ради</w:t>
      </w:r>
    </w:p>
    <w:p w14:paraId="6F237A88" w14:textId="1DEC15C0" w:rsidR="00AE3496" w:rsidRPr="00AE3496" w:rsidRDefault="00AE3496" w:rsidP="00A26D13">
      <w:pPr>
        <w:autoSpaceDE w:val="0"/>
        <w:autoSpaceDN w:val="0"/>
        <w:adjustRightInd w:val="0"/>
        <w:spacing w:after="0" w:line="240" w:lineRule="auto"/>
        <w:ind w:left="5670" w:right="-14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АТ «ВОЛИНЬГАЗ» від 29.08.2025, протокол №6/25</w:t>
      </w:r>
    </w:p>
    <w:p w14:paraId="2E7794B7" w14:textId="77777777" w:rsidR="00125796" w:rsidRPr="003A5DE9" w:rsidRDefault="00125796" w:rsidP="003A5DE9">
      <w:pPr>
        <w:spacing w:after="0" w:line="240" w:lineRule="auto"/>
        <w:jc w:val="center"/>
        <w:rPr>
          <w:rFonts w:ascii="Times New Roman" w:hAnsi="Times New Roman" w:cs="Times New Roman"/>
          <w:b/>
          <w:bCs/>
          <w:sz w:val="24"/>
          <w:szCs w:val="24"/>
        </w:rPr>
      </w:pPr>
    </w:p>
    <w:p w14:paraId="42B1F3CA" w14:textId="2F4CC03C" w:rsidR="00657ADF" w:rsidRPr="003A5DE9" w:rsidRDefault="00080816" w:rsidP="003A5DE9">
      <w:pPr>
        <w:spacing w:after="0" w:line="240" w:lineRule="auto"/>
        <w:jc w:val="center"/>
        <w:rPr>
          <w:rFonts w:ascii="Times New Roman" w:hAnsi="Times New Roman" w:cs="Times New Roman"/>
          <w:b/>
          <w:bCs/>
          <w:sz w:val="24"/>
          <w:szCs w:val="24"/>
        </w:rPr>
      </w:pPr>
      <w:r w:rsidRPr="003A5DE9">
        <w:rPr>
          <w:rFonts w:ascii="Times New Roman" w:hAnsi="Times New Roman" w:cs="Times New Roman"/>
          <w:b/>
          <w:bCs/>
          <w:sz w:val="24"/>
          <w:szCs w:val="24"/>
        </w:rPr>
        <w:t xml:space="preserve">Оголошення </w:t>
      </w:r>
    </w:p>
    <w:p w14:paraId="13F15827" w14:textId="77777777" w:rsidR="00A26D13" w:rsidRDefault="00080816" w:rsidP="003A5DE9">
      <w:pPr>
        <w:spacing w:after="0" w:line="240" w:lineRule="auto"/>
        <w:jc w:val="center"/>
        <w:rPr>
          <w:rFonts w:ascii="Times New Roman" w:hAnsi="Times New Roman" w:cs="Times New Roman"/>
          <w:b/>
          <w:bCs/>
          <w:sz w:val="24"/>
          <w:szCs w:val="24"/>
        </w:rPr>
      </w:pPr>
      <w:r w:rsidRPr="003A5DE9">
        <w:rPr>
          <w:rFonts w:ascii="Times New Roman" w:hAnsi="Times New Roman" w:cs="Times New Roman"/>
          <w:b/>
          <w:bCs/>
          <w:sz w:val="24"/>
          <w:szCs w:val="24"/>
        </w:rPr>
        <w:t>про 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w:t>
      </w:r>
    </w:p>
    <w:p w14:paraId="42DE79CA" w14:textId="71F9B713" w:rsidR="00112AF6" w:rsidRPr="003A5DE9" w:rsidRDefault="00587790" w:rsidP="003A5DE9">
      <w:pPr>
        <w:spacing w:after="0" w:line="240" w:lineRule="auto"/>
        <w:jc w:val="center"/>
        <w:rPr>
          <w:rFonts w:ascii="Times New Roman" w:hAnsi="Times New Roman" w:cs="Times New Roman"/>
          <w:sz w:val="24"/>
          <w:szCs w:val="24"/>
        </w:rPr>
      </w:pPr>
      <w:r w:rsidRPr="003A5DE9">
        <w:rPr>
          <w:rFonts w:ascii="Times New Roman" w:hAnsi="Times New Roman" w:cs="Times New Roman"/>
          <w:b/>
          <w:bCs/>
          <w:sz w:val="24"/>
          <w:szCs w:val="24"/>
        </w:rPr>
        <w:t>АТ «</w:t>
      </w:r>
      <w:r w:rsidR="0087511A" w:rsidRPr="003A5DE9">
        <w:rPr>
          <w:rFonts w:ascii="Times New Roman" w:hAnsi="Times New Roman" w:cs="Times New Roman"/>
          <w:b/>
          <w:bCs/>
          <w:sz w:val="24"/>
          <w:szCs w:val="24"/>
        </w:rPr>
        <w:t>ВОЛИНЬГАЗ</w:t>
      </w:r>
      <w:r w:rsidRPr="003A5DE9">
        <w:rPr>
          <w:rFonts w:ascii="Times New Roman" w:hAnsi="Times New Roman" w:cs="Times New Roman"/>
          <w:b/>
          <w:bCs/>
          <w:sz w:val="24"/>
          <w:szCs w:val="24"/>
        </w:rPr>
        <w:t>»</w:t>
      </w:r>
      <w:r w:rsidR="00EB562B" w:rsidRPr="003A5DE9">
        <w:rPr>
          <w:rFonts w:ascii="Times New Roman" w:hAnsi="Times New Roman" w:cs="Times New Roman"/>
          <w:b/>
          <w:bCs/>
          <w:sz w:val="24"/>
          <w:szCs w:val="24"/>
        </w:rPr>
        <w:t xml:space="preserve"> за 202</w:t>
      </w:r>
      <w:r w:rsidRPr="003A5DE9">
        <w:rPr>
          <w:rFonts w:ascii="Times New Roman" w:hAnsi="Times New Roman" w:cs="Times New Roman"/>
          <w:b/>
          <w:bCs/>
          <w:sz w:val="24"/>
          <w:szCs w:val="24"/>
        </w:rPr>
        <w:t>5</w:t>
      </w:r>
      <w:r w:rsidR="00EB562B" w:rsidRPr="003A5DE9">
        <w:rPr>
          <w:rFonts w:ascii="Times New Roman" w:hAnsi="Times New Roman" w:cs="Times New Roman"/>
          <w:b/>
          <w:bCs/>
          <w:sz w:val="24"/>
          <w:szCs w:val="24"/>
        </w:rPr>
        <w:t xml:space="preserve"> рік</w:t>
      </w:r>
    </w:p>
    <w:p w14:paraId="72A6B2CB" w14:textId="77777777" w:rsidR="00E10C57" w:rsidRPr="003A5DE9" w:rsidRDefault="00E10C57" w:rsidP="003A5DE9">
      <w:pPr>
        <w:spacing w:after="0" w:line="240" w:lineRule="auto"/>
        <w:rPr>
          <w:rFonts w:ascii="Times New Roman" w:hAnsi="Times New Roman" w:cs="Times New Roman"/>
          <w:sz w:val="24"/>
          <w:szCs w:val="24"/>
        </w:rPr>
      </w:pPr>
    </w:p>
    <w:p w14:paraId="0E1D1269" w14:textId="31C3038C" w:rsidR="00A86A69" w:rsidRPr="003A5DE9" w:rsidRDefault="00A86A69" w:rsidP="003A5DE9">
      <w:pPr>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b/>
          <w:bCs/>
          <w:sz w:val="24"/>
          <w:szCs w:val="24"/>
        </w:rPr>
        <w:t xml:space="preserve">АКЦІОНЕРНЕ ТОВАРИСТВО «ОПЕРАТОР ГАЗОРОЗПОДІЛЬНОЇ СИСТЕМИ </w:t>
      </w:r>
      <w:r w:rsidR="002C2D08" w:rsidRPr="003A5DE9">
        <w:rPr>
          <w:rFonts w:ascii="Times New Roman" w:hAnsi="Times New Roman" w:cs="Times New Roman"/>
          <w:b/>
          <w:bCs/>
          <w:sz w:val="24"/>
          <w:szCs w:val="24"/>
        </w:rPr>
        <w:t>«</w:t>
      </w:r>
      <w:r w:rsidR="0087511A" w:rsidRPr="003A5DE9">
        <w:rPr>
          <w:rFonts w:ascii="Times New Roman" w:hAnsi="Times New Roman" w:cs="Times New Roman"/>
          <w:b/>
          <w:bCs/>
          <w:sz w:val="24"/>
          <w:szCs w:val="24"/>
        </w:rPr>
        <w:t>ВОЛИНЬГАЗ</w:t>
      </w:r>
      <w:r w:rsidR="002C2D08" w:rsidRPr="003A5DE9">
        <w:rPr>
          <w:rFonts w:ascii="Times New Roman" w:hAnsi="Times New Roman" w:cs="Times New Roman"/>
          <w:b/>
          <w:bCs/>
          <w:sz w:val="24"/>
          <w:szCs w:val="24"/>
        </w:rPr>
        <w:t>»</w:t>
      </w:r>
      <w:r w:rsidRPr="003A5DE9">
        <w:rPr>
          <w:rFonts w:ascii="Times New Roman" w:hAnsi="Times New Roman" w:cs="Times New Roman"/>
          <w:sz w:val="24"/>
          <w:szCs w:val="24"/>
        </w:rPr>
        <w:t xml:space="preserve"> (</w:t>
      </w:r>
      <w:r w:rsidR="00AA5489" w:rsidRPr="003A5DE9">
        <w:rPr>
          <w:rFonts w:ascii="Times New Roman" w:eastAsia="Calibri" w:hAnsi="Times New Roman" w:cs="Times New Roman"/>
          <w:color w:val="000000" w:themeColor="text1"/>
          <w:sz w:val="24"/>
          <w:szCs w:val="24"/>
          <w:lang w:eastAsia="ru-RU"/>
        </w:rPr>
        <w:t>ідентифікаційний код</w:t>
      </w:r>
      <w:r w:rsidR="0087511A" w:rsidRPr="003A5DE9">
        <w:rPr>
          <w:rFonts w:ascii="Times New Roman" w:hAnsi="Times New Roman" w:cs="Times New Roman"/>
          <w:sz w:val="24"/>
          <w:szCs w:val="24"/>
        </w:rPr>
        <w:t xml:space="preserve"> 03339459</w:t>
      </w:r>
      <w:r w:rsidR="00AA5489" w:rsidRPr="003A5DE9">
        <w:rPr>
          <w:rFonts w:ascii="Times New Roman" w:hAnsi="Times New Roman" w:cs="Times New Roman"/>
          <w:sz w:val="24"/>
          <w:szCs w:val="24"/>
        </w:rPr>
        <w:t xml:space="preserve">; веб-сайт </w:t>
      </w:r>
      <w:r w:rsidR="0087511A" w:rsidRPr="003A5DE9">
        <w:rPr>
          <w:rFonts w:ascii="Times New Roman" w:hAnsi="Times New Roman" w:cs="Times New Roman"/>
          <w:sz w:val="24"/>
          <w:szCs w:val="24"/>
        </w:rPr>
        <w:t>https://vl.naftogaz.com</w:t>
      </w:r>
      <w:r w:rsidR="00AA5489" w:rsidRPr="003A5DE9">
        <w:rPr>
          <w:rFonts w:ascii="Times New Roman" w:hAnsi="Times New Roman" w:cs="Times New Roman"/>
          <w:sz w:val="24"/>
          <w:szCs w:val="24"/>
        </w:rPr>
        <w:t xml:space="preserve">; поштова адреса: </w:t>
      </w:r>
      <w:r w:rsidR="0087511A" w:rsidRPr="003A5DE9">
        <w:rPr>
          <w:rFonts w:ascii="Times New Roman" w:hAnsi="Times New Roman" w:cs="Times New Roman"/>
          <w:sz w:val="24"/>
          <w:szCs w:val="24"/>
        </w:rPr>
        <w:t>43006, м.</w:t>
      </w:r>
      <w:r w:rsidR="001C196E" w:rsidRPr="003A5DE9">
        <w:rPr>
          <w:rFonts w:ascii="Times New Roman" w:hAnsi="Times New Roman" w:cs="Times New Roman"/>
          <w:sz w:val="24"/>
          <w:szCs w:val="24"/>
        </w:rPr>
        <w:t xml:space="preserve"> </w:t>
      </w:r>
      <w:r w:rsidR="0087511A" w:rsidRPr="003A5DE9">
        <w:rPr>
          <w:rFonts w:ascii="Times New Roman" w:hAnsi="Times New Roman" w:cs="Times New Roman"/>
          <w:sz w:val="24"/>
          <w:szCs w:val="24"/>
        </w:rPr>
        <w:t>Луцьк, вул.</w:t>
      </w:r>
      <w:r w:rsidR="001C196E" w:rsidRPr="003A5DE9">
        <w:rPr>
          <w:rFonts w:ascii="Times New Roman" w:hAnsi="Times New Roman" w:cs="Times New Roman"/>
          <w:sz w:val="24"/>
          <w:szCs w:val="24"/>
        </w:rPr>
        <w:t xml:space="preserve"> </w:t>
      </w:r>
      <w:r w:rsidR="0087511A" w:rsidRPr="003A5DE9">
        <w:rPr>
          <w:rFonts w:ascii="Times New Roman" w:hAnsi="Times New Roman" w:cs="Times New Roman"/>
          <w:sz w:val="24"/>
          <w:szCs w:val="24"/>
        </w:rPr>
        <w:t>І.Франка, 12</w:t>
      </w:r>
      <w:r w:rsidR="005B30D2" w:rsidRPr="003A5DE9">
        <w:rPr>
          <w:rFonts w:ascii="Times New Roman" w:hAnsi="Times New Roman" w:cs="Times New Roman"/>
          <w:sz w:val="24"/>
          <w:szCs w:val="24"/>
        </w:rPr>
        <w:t xml:space="preserve">; телефон </w:t>
      </w:r>
      <w:r w:rsidR="0087511A" w:rsidRPr="003A5DE9">
        <w:rPr>
          <w:rFonts w:ascii="Times New Roman" w:eastAsia="Times New Roman" w:hAnsi="Times New Roman" w:cs="Times New Roman"/>
          <w:color w:val="1F1F1F"/>
          <w:sz w:val="24"/>
          <w:szCs w:val="24"/>
          <w:lang w:eastAsia="uk-UA"/>
        </w:rPr>
        <w:t>0332776900</w:t>
      </w:r>
      <w:r w:rsidR="005B30D2" w:rsidRPr="003A5DE9">
        <w:rPr>
          <w:rFonts w:ascii="Times New Roman" w:hAnsi="Times New Roman" w:cs="Times New Roman"/>
          <w:sz w:val="24"/>
          <w:szCs w:val="24"/>
        </w:rPr>
        <w:t>; адреса електронної пошти</w:t>
      </w:r>
      <w:r w:rsidR="002C2D08" w:rsidRPr="003A5DE9">
        <w:rPr>
          <w:rFonts w:ascii="Times New Roman" w:hAnsi="Times New Roman" w:cs="Times New Roman"/>
          <w:sz w:val="24"/>
          <w:szCs w:val="24"/>
        </w:rPr>
        <w:t>:</w:t>
      </w:r>
      <w:r w:rsidR="005B30D2" w:rsidRPr="003A5DE9">
        <w:rPr>
          <w:rFonts w:ascii="Times New Roman" w:hAnsi="Times New Roman" w:cs="Times New Roman"/>
          <w:sz w:val="24"/>
          <w:szCs w:val="24"/>
        </w:rPr>
        <w:t xml:space="preserve"> </w:t>
      </w:r>
      <w:r w:rsidR="0087511A" w:rsidRPr="003A5DE9">
        <w:rPr>
          <w:rFonts w:ascii="Times New Roman" w:hAnsi="Times New Roman" w:cs="Times New Roman"/>
          <w:sz w:val="24"/>
          <w:szCs w:val="24"/>
        </w:rPr>
        <w:t>office@vl.naftogaz.com</w:t>
      </w:r>
      <w:r w:rsidR="00AA5489" w:rsidRPr="003A5DE9">
        <w:rPr>
          <w:rFonts w:ascii="Times New Roman" w:hAnsi="Times New Roman" w:cs="Times New Roman"/>
          <w:sz w:val="24"/>
          <w:szCs w:val="24"/>
        </w:rPr>
        <w:t>)  (</w:t>
      </w:r>
      <w:r w:rsidRPr="003A5DE9">
        <w:rPr>
          <w:rFonts w:ascii="Times New Roman" w:hAnsi="Times New Roman" w:cs="Times New Roman"/>
          <w:sz w:val="24"/>
          <w:szCs w:val="24"/>
        </w:rPr>
        <w:t xml:space="preserve">далі – Товариство) оголошує конкурс з відбору суб’єктів аудиторської діяльності, які можуть бути призначені для надання послуг з обов’язкового аудиту фінансової звітності </w:t>
      </w:r>
      <w:r w:rsidR="00587790" w:rsidRPr="003A5DE9">
        <w:rPr>
          <w:rFonts w:ascii="Times New Roman" w:hAnsi="Times New Roman" w:cs="Times New Roman"/>
          <w:sz w:val="24"/>
          <w:szCs w:val="24"/>
        </w:rPr>
        <w:t xml:space="preserve">Товариства </w:t>
      </w:r>
      <w:r w:rsidRPr="003A5DE9">
        <w:rPr>
          <w:rFonts w:ascii="Times New Roman" w:hAnsi="Times New Roman" w:cs="Times New Roman"/>
          <w:sz w:val="24"/>
          <w:szCs w:val="24"/>
        </w:rPr>
        <w:t>за 202</w:t>
      </w:r>
      <w:r w:rsidR="00587790" w:rsidRPr="003A5DE9">
        <w:rPr>
          <w:rFonts w:ascii="Times New Roman" w:hAnsi="Times New Roman" w:cs="Times New Roman"/>
          <w:sz w:val="24"/>
          <w:szCs w:val="24"/>
        </w:rPr>
        <w:t>5</w:t>
      </w:r>
      <w:r w:rsidRPr="003A5DE9">
        <w:rPr>
          <w:rFonts w:ascii="Times New Roman" w:hAnsi="Times New Roman" w:cs="Times New Roman"/>
          <w:sz w:val="24"/>
          <w:szCs w:val="24"/>
        </w:rPr>
        <w:t xml:space="preserve"> рік</w:t>
      </w:r>
      <w:r w:rsidR="00131A36" w:rsidRPr="003A5DE9">
        <w:rPr>
          <w:rFonts w:ascii="Times New Roman" w:hAnsi="Times New Roman" w:cs="Times New Roman"/>
          <w:sz w:val="24"/>
          <w:szCs w:val="24"/>
        </w:rPr>
        <w:t xml:space="preserve"> </w:t>
      </w:r>
      <w:r w:rsidR="00525E38" w:rsidRPr="003A5DE9">
        <w:rPr>
          <w:rFonts w:ascii="Times New Roman" w:hAnsi="Times New Roman" w:cs="Times New Roman"/>
          <w:sz w:val="24"/>
          <w:szCs w:val="24"/>
        </w:rPr>
        <w:t>(далі також – конкурс)</w:t>
      </w:r>
      <w:r w:rsidRPr="003A5DE9">
        <w:rPr>
          <w:rFonts w:ascii="Times New Roman" w:hAnsi="Times New Roman" w:cs="Times New Roman"/>
          <w:sz w:val="24"/>
          <w:szCs w:val="24"/>
        </w:rPr>
        <w:t>.</w:t>
      </w:r>
    </w:p>
    <w:p w14:paraId="0E5B380E" w14:textId="7A45C6F3" w:rsidR="0077444B" w:rsidRPr="003A5DE9" w:rsidRDefault="0077444B" w:rsidP="003A5DE9">
      <w:pPr>
        <w:tabs>
          <w:tab w:val="left" w:pos="1134"/>
        </w:tabs>
        <w:spacing w:after="0" w:line="240" w:lineRule="auto"/>
        <w:ind w:firstLine="567"/>
        <w:jc w:val="both"/>
        <w:rPr>
          <w:rFonts w:ascii="Times New Roman" w:hAnsi="Times New Roman" w:cs="Times New Roman"/>
          <w:b/>
          <w:bCs/>
          <w:sz w:val="24"/>
          <w:szCs w:val="24"/>
        </w:rPr>
      </w:pPr>
      <w:r w:rsidRPr="003A5DE9">
        <w:rPr>
          <w:rFonts w:ascii="Times New Roman" w:hAnsi="Times New Roman" w:cs="Times New Roman"/>
          <w:b/>
          <w:bCs/>
          <w:sz w:val="24"/>
          <w:szCs w:val="24"/>
        </w:rPr>
        <w:t>Дата оголошення конкурсу:</w:t>
      </w:r>
      <w:r w:rsidR="001347F9" w:rsidRPr="003A5DE9">
        <w:rPr>
          <w:rFonts w:ascii="Times New Roman" w:hAnsi="Times New Roman" w:cs="Times New Roman"/>
          <w:b/>
          <w:bCs/>
          <w:sz w:val="24"/>
          <w:szCs w:val="24"/>
        </w:rPr>
        <w:t xml:space="preserve"> </w:t>
      </w:r>
      <w:bookmarkStart w:id="0" w:name="_Hlk207274715"/>
      <w:r w:rsidR="001347F9" w:rsidRPr="003A5DE9">
        <w:rPr>
          <w:rFonts w:ascii="Times New Roman" w:hAnsi="Times New Roman" w:cs="Times New Roman"/>
          <w:b/>
          <w:bCs/>
          <w:sz w:val="24"/>
          <w:szCs w:val="24"/>
        </w:rPr>
        <w:t>01.09.2025.</w:t>
      </w:r>
      <w:bookmarkEnd w:id="0"/>
    </w:p>
    <w:p w14:paraId="5C822DDA" w14:textId="77777777" w:rsidR="0077444B" w:rsidRPr="003A5DE9" w:rsidRDefault="0077444B" w:rsidP="003A5DE9">
      <w:pPr>
        <w:tabs>
          <w:tab w:val="left" w:pos="1134"/>
        </w:tabs>
        <w:spacing w:after="0" w:line="240" w:lineRule="auto"/>
        <w:jc w:val="both"/>
        <w:rPr>
          <w:rFonts w:ascii="Times New Roman" w:hAnsi="Times New Roman" w:cs="Times New Roman"/>
          <w:sz w:val="24"/>
          <w:szCs w:val="24"/>
        </w:rPr>
      </w:pPr>
    </w:p>
    <w:p w14:paraId="0925E9F4" w14:textId="01F30CF1" w:rsidR="0077444B" w:rsidRPr="003A5DE9" w:rsidRDefault="0077444B" w:rsidP="003A5DE9">
      <w:pPr>
        <w:tabs>
          <w:tab w:val="left" w:pos="1134"/>
        </w:tabs>
        <w:spacing w:after="0" w:line="240" w:lineRule="auto"/>
        <w:ind w:firstLine="567"/>
        <w:jc w:val="both"/>
        <w:rPr>
          <w:rFonts w:ascii="Times New Roman" w:hAnsi="Times New Roman" w:cs="Times New Roman"/>
          <w:b/>
          <w:bCs/>
          <w:sz w:val="24"/>
          <w:szCs w:val="24"/>
        </w:rPr>
      </w:pPr>
      <w:r w:rsidRPr="003A5DE9">
        <w:rPr>
          <w:rFonts w:ascii="Times New Roman" w:hAnsi="Times New Roman" w:cs="Times New Roman"/>
          <w:b/>
          <w:bCs/>
          <w:sz w:val="24"/>
          <w:szCs w:val="24"/>
        </w:rPr>
        <w:t xml:space="preserve">Кінцевий строк подання </w:t>
      </w:r>
      <w:r w:rsidR="00D467C9" w:rsidRPr="003A5DE9">
        <w:rPr>
          <w:rFonts w:ascii="Times New Roman" w:hAnsi="Times New Roman" w:cs="Times New Roman"/>
          <w:b/>
          <w:bCs/>
          <w:sz w:val="24"/>
          <w:szCs w:val="24"/>
        </w:rPr>
        <w:t>документ</w:t>
      </w:r>
      <w:r w:rsidR="00360EC8" w:rsidRPr="003A5DE9">
        <w:rPr>
          <w:rFonts w:ascii="Times New Roman" w:hAnsi="Times New Roman" w:cs="Times New Roman"/>
          <w:b/>
          <w:bCs/>
          <w:sz w:val="24"/>
          <w:szCs w:val="24"/>
        </w:rPr>
        <w:t>ів</w:t>
      </w:r>
      <w:r w:rsidR="00D467C9" w:rsidRPr="003A5DE9">
        <w:rPr>
          <w:rFonts w:ascii="Times New Roman" w:hAnsi="Times New Roman" w:cs="Times New Roman"/>
          <w:b/>
          <w:bCs/>
          <w:sz w:val="24"/>
          <w:szCs w:val="24"/>
        </w:rPr>
        <w:t xml:space="preserve">, які надаються суб’єктом аудиторської діяльності, який має намір брати участь у конкурсі (далі також - </w:t>
      </w:r>
      <w:r w:rsidRPr="003A5DE9">
        <w:rPr>
          <w:rFonts w:ascii="Times New Roman" w:hAnsi="Times New Roman" w:cs="Times New Roman"/>
          <w:b/>
          <w:bCs/>
          <w:sz w:val="24"/>
          <w:szCs w:val="24"/>
        </w:rPr>
        <w:t>конкурсн</w:t>
      </w:r>
      <w:r w:rsidR="00D467C9" w:rsidRPr="003A5DE9">
        <w:rPr>
          <w:rFonts w:ascii="Times New Roman" w:hAnsi="Times New Roman" w:cs="Times New Roman"/>
          <w:b/>
          <w:bCs/>
          <w:sz w:val="24"/>
          <w:szCs w:val="24"/>
        </w:rPr>
        <w:t>а</w:t>
      </w:r>
      <w:r w:rsidRPr="003A5DE9">
        <w:rPr>
          <w:rFonts w:ascii="Times New Roman" w:hAnsi="Times New Roman" w:cs="Times New Roman"/>
          <w:b/>
          <w:bCs/>
          <w:sz w:val="24"/>
          <w:szCs w:val="24"/>
        </w:rPr>
        <w:t xml:space="preserve"> пропозиці</w:t>
      </w:r>
      <w:r w:rsidR="00D467C9" w:rsidRPr="003A5DE9">
        <w:rPr>
          <w:rFonts w:ascii="Times New Roman" w:hAnsi="Times New Roman" w:cs="Times New Roman"/>
          <w:b/>
          <w:bCs/>
          <w:sz w:val="24"/>
          <w:szCs w:val="24"/>
        </w:rPr>
        <w:t>я)</w:t>
      </w:r>
      <w:r w:rsidRPr="003A5DE9">
        <w:rPr>
          <w:rFonts w:ascii="Times New Roman" w:hAnsi="Times New Roman" w:cs="Times New Roman"/>
          <w:b/>
          <w:bCs/>
          <w:sz w:val="24"/>
          <w:szCs w:val="24"/>
        </w:rPr>
        <w:t xml:space="preserve">: </w:t>
      </w:r>
      <w:bookmarkStart w:id="1" w:name="_Hlk207274723"/>
      <w:r w:rsidR="001347F9" w:rsidRPr="003A5DE9">
        <w:rPr>
          <w:rFonts w:ascii="Times New Roman" w:hAnsi="Times New Roman" w:cs="Times New Roman"/>
          <w:b/>
          <w:bCs/>
          <w:sz w:val="24"/>
          <w:szCs w:val="24"/>
        </w:rPr>
        <w:t>08.09.2025.</w:t>
      </w:r>
      <w:bookmarkEnd w:id="1"/>
    </w:p>
    <w:p w14:paraId="0E8CDC62" w14:textId="77777777" w:rsidR="0077444B" w:rsidRPr="003A5DE9" w:rsidRDefault="0077444B" w:rsidP="003A5DE9">
      <w:pPr>
        <w:tabs>
          <w:tab w:val="left" w:pos="1134"/>
        </w:tabs>
        <w:spacing w:after="0" w:line="240" w:lineRule="auto"/>
        <w:jc w:val="both"/>
        <w:rPr>
          <w:rFonts w:ascii="Times New Roman" w:hAnsi="Times New Roman" w:cs="Times New Roman"/>
          <w:sz w:val="24"/>
          <w:szCs w:val="24"/>
        </w:rPr>
      </w:pPr>
    </w:p>
    <w:p w14:paraId="4CEF4B8E" w14:textId="36997296" w:rsidR="0077444B" w:rsidRPr="003A5DE9" w:rsidRDefault="0077444B" w:rsidP="003A5DE9">
      <w:pPr>
        <w:tabs>
          <w:tab w:val="left" w:pos="1134"/>
        </w:tabs>
        <w:spacing w:after="0" w:line="240" w:lineRule="auto"/>
        <w:ind w:firstLine="567"/>
        <w:jc w:val="both"/>
        <w:rPr>
          <w:rFonts w:ascii="Times New Roman" w:hAnsi="Times New Roman" w:cs="Times New Roman"/>
          <w:b/>
          <w:bCs/>
          <w:sz w:val="24"/>
          <w:szCs w:val="24"/>
        </w:rPr>
      </w:pPr>
      <w:r w:rsidRPr="003A5DE9">
        <w:rPr>
          <w:rFonts w:ascii="Times New Roman" w:hAnsi="Times New Roman" w:cs="Times New Roman"/>
          <w:b/>
          <w:bCs/>
          <w:sz w:val="24"/>
          <w:szCs w:val="24"/>
        </w:rPr>
        <w:t>Дата та час розкриття конкурсних пропозицій:</w:t>
      </w:r>
      <w:r w:rsidR="001347F9" w:rsidRPr="003A5DE9">
        <w:rPr>
          <w:rFonts w:ascii="Times New Roman" w:hAnsi="Times New Roman" w:cs="Times New Roman"/>
          <w:b/>
          <w:bCs/>
          <w:sz w:val="24"/>
          <w:szCs w:val="24"/>
        </w:rPr>
        <w:t xml:space="preserve"> </w:t>
      </w:r>
      <w:bookmarkStart w:id="2" w:name="_Hlk207208062"/>
      <w:r w:rsidR="001347F9" w:rsidRPr="003A5DE9">
        <w:rPr>
          <w:rFonts w:ascii="Times New Roman" w:hAnsi="Times New Roman" w:cs="Times New Roman"/>
          <w:b/>
          <w:bCs/>
          <w:sz w:val="24"/>
          <w:szCs w:val="24"/>
        </w:rPr>
        <w:t>09.09.2025 о 11 год. 00 хв.</w:t>
      </w:r>
      <w:bookmarkEnd w:id="2"/>
    </w:p>
    <w:p w14:paraId="13326A05" w14:textId="77777777" w:rsidR="0077444B" w:rsidRPr="003A5DE9" w:rsidRDefault="0077444B" w:rsidP="003A5DE9">
      <w:pPr>
        <w:tabs>
          <w:tab w:val="left" w:pos="1134"/>
        </w:tabs>
        <w:spacing w:after="0" w:line="240" w:lineRule="auto"/>
        <w:jc w:val="both"/>
        <w:rPr>
          <w:rFonts w:ascii="Times New Roman" w:hAnsi="Times New Roman" w:cs="Times New Roman"/>
          <w:b/>
          <w:bCs/>
          <w:sz w:val="24"/>
          <w:szCs w:val="24"/>
        </w:rPr>
      </w:pPr>
    </w:p>
    <w:p w14:paraId="1019F6B8" w14:textId="66967C62" w:rsidR="0077444B" w:rsidRPr="003A5DE9" w:rsidRDefault="0077444B" w:rsidP="003A5DE9">
      <w:pPr>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b/>
          <w:bCs/>
          <w:sz w:val="24"/>
          <w:szCs w:val="24"/>
        </w:rPr>
        <w:t>Контактна особа:</w:t>
      </w:r>
      <w:r w:rsidRPr="003A5DE9">
        <w:rPr>
          <w:rFonts w:ascii="Times New Roman" w:hAnsi="Times New Roman" w:cs="Times New Roman"/>
          <w:sz w:val="24"/>
          <w:szCs w:val="24"/>
        </w:rPr>
        <w:t xml:space="preserve"> </w:t>
      </w:r>
      <w:r w:rsidR="0087511A" w:rsidRPr="003A5DE9">
        <w:rPr>
          <w:rFonts w:ascii="Times New Roman" w:hAnsi="Times New Roman" w:cs="Times New Roman"/>
          <w:sz w:val="24"/>
          <w:szCs w:val="24"/>
        </w:rPr>
        <w:t>Власюк Наталія Вячеславівна</w:t>
      </w:r>
      <w:r w:rsidRPr="003A5DE9">
        <w:rPr>
          <w:rFonts w:ascii="Times New Roman" w:hAnsi="Times New Roman" w:cs="Times New Roman"/>
          <w:sz w:val="24"/>
          <w:szCs w:val="24"/>
        </w:rPr>
        <w:t xml:space="preserve">, тел. </w:t>
      </w:r>
      <w:r w:rsidR="0087511A" w:rsidRPr="003A5DE9">
        <w:rPr>
          <w:rFonts w:ascii="Times New Roman" w:hAnsi="Times New Roman" w:cs="Times New Roman"/>
          <w:sz w:val="24"/>
          <w:szCs w:val="24"/>
        </w:rPr>
        <w:t>380506474320</w:t>
      </w:r>
      <w:r w:rsidRPr="003A5DE9">
        <w:rPr>
          <w:rFonts w:ascii="Times New Roman" w:hAnsi="Times New Roman" w:cs="Times New Roman"/>
          <w:sz w:val="24"/>
          <w:szCs w:val="24"/>
        </w:rPr>
        <w:t>, адреса електронної пошти</w:t>
      </w:r>
      <w:r w:rsidR="00681DA9" w:rsidRPr="003A5DE9">
        <w:rPr>
          <w:rFonts w:ascii="Times New Roman" w:hAnsi="Times New Roman" w:cs="Times New Roman"/>
          <w:sz w:val="24"/>
          <w:szCs w:val="24"/>
        </w:rPr>
        <w:t xml:space="preserve">: </w:t>
      </w:r>
      <w:r w:rsidR="0087511A" w:rsidRPr="003A5DE9">
        <w:rPr>
          <w:rFonts w:ascii="Times New Roman" w:hAnsi="Times New Roman" w:cs="Times New Roman"/>
          <w:sz w:val="24"/>
          <w:szCs w:val="24"/>
        </w:rPr>
        <w:t>n.vlasiuk@grmu.com.ua</w:t>
      </w:r>
      <w:r w:rsidRPr="003A5DE9">
        <w:rPr>
          <w:rFonts w:ascii="Times New Roman" w:hAnsi="Times New Roman" w:cs="Times New Roman"/>
          <w:sz w:val="24"/>
          <w:szCs w:val="24"/>
        </w:rPr>
        <w:t>.</w:t>
      </w:r>
    </w:p>
    <w:p w14:paraId="116E9FE2" w14:textId="77777777" w:rsidR="00A86A69" w:rsidRPr="003A5DE9" w:rsidRDefault="00A86A69" w:rsidP="003A5DE9">
      <w:pPr>
        <w:tabs>
          <w:tab w:val="left" w:pos="1134"/>
        </w:tabs>
        <w:spacing w:after="0" w:line="240" w:lineRule="auto"/>
        <w:jc w:val="both"/>
        <w:rPr>
          <w:rFonts w:ascii="Times New Roman" w:hAnsi="Times New Roman" w:cs="Times New Roman"/>
          <w:sz w:val="24"/>
          <w:szCs w:val="24"/>
        </w:rPr>
      </w:pPr>
    </w:p>
    <w:p w14:paraId="7275B57E" w14:textId="7D397B38" w:rsidR="00A86A69" w:rsidRPr="003A5DE9" w:rsidRDefault="007331F8" w:rsidP="003A5DE9">
      <w:pPr>
        <w:tabs>
          <w:tab w:val="left" w:pos="1134"/>
        </w:tabs>
        <w:spacing w:after="0" w:line="240" w:lineRule="auto"/>
        <w:ind w:firstLine="567"/>
        <w:jc w:val="both"/>
        <w:rPr>
          <w:rFonts w:ascii="Times New Roman" w:hAnsi="Times New Roman" w:cs="Times New Roman"/>
          <w:b/>
          <w:bCs/>
          <w:sz w:val="24"/>
          <w:szCs w:val="24"/>
        </w:rPr>
      </w:pPr>
      <w:r w:rsidRPr="003A5DE9">
        <w:rPr>
          <w:rFonts w:ascii="Times New Roman" w:hAnsi="Times New Roman" w:cs="Times New Roman"/>
          <w:b/>
          <w:bCs/>
          <w:sz w:val="24"/>
          <w:szCs w:val="24"/>
        </w:rPr>
        <w:t>Завдання з обов’язкового аудиту фінансової звітності</w:t>
      </w:r>
      <w:r w:rsidR="0002400A" w:rsidRPr="003A5DE9">
        <w:rPr>
          <w:rFonts w:ascii="Times New Roman" w:hAnsi="Times New Roman" w:cs="Times New Roman"/>
          <w:b/>
          <w:bCs/>
          <w:sz w:val="24"/>
          <w:szCs w:val="24"/>
        </w:rPr>
        <w:t>.</w:t>
      </w:r>
    </w:p>
    <w:tbl>
      <w:tblPr>
        <w:tblpPr w:leftFromText="180" w:rightFromText="180" w:vertAnchor="text" w:tblpX="30"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103"/>
        <w:gridCol w:w="2268"/>
      </w:tblGrid>
      <w:tr w:rsidR="005D3C62" w:rsidRPr="003A5DE9" w14:paraId="5F7780B5" w14:textId="77777777" w:rsidTr="00A26D13">
        <w:trPr>
          <w:cantSplit/>
          <w:trHeight w:val="848"/>
        </w:trPr>
        <w:tc>
          <w:tcPr>
            <w:tcW w:w="1696" w:type="dxa"/>
          </w:tcPr>
          <w:p w14:paraId="222840A4" w14:textId="77777777" w:rsidR="005D3C62" w:rsidRPr="003A5DE9" w:rsidRDefault="005D3C62" w:rsidP="00A817B6">
            <w:pPr>
              <w:keepNext/>
              <w:spacing w:after="0" w:line="240" w:lineRule="auto"/>
              <w:jc w:val="center"/>
              <w:rPr>
                <w:rFonts w:ascii="Times New Roman" w:hAnsi="Times New Roman" w:cs="Times New Roman"/>
              </w:rPr>
            </w:pPr>
            <w:bookmarkStart w:id="3" w:name="_Hlk206599537"/>
            <w:r w:rsidRPr="003A5DE9">
              <w:rPr>
                <w:rFonts w:ascii="Times New Roman" w:hAnsi="Times New Roman" w:cs="Times New Roman"/>
                <w:b/>
                <w:bCs/>
              </w:rPr>
              <w:t>Перелік аудиторських послуг</w:t>
            </w:r>
          </w:p>
        </w:tc>
        <w:tc>
          <w:tcPr>
            <w:tcW w:w="5103" w:type="dxa"/>
          </w:tcPr>
          <w:p w14:paraId="7D448B52" w14:textId="77777777" w:rsidR="005D3C62" w:rsidRPr="003A5DE9" w:rsidRDefault="005D3C62" w:rsidP="00A817B6">
            <w:pPr>
              <w:keepNext/>
              <w:widowControl w:val="0"/>
              <w:spacing w:after="0" w:line="240" w:lineRule="auto"/>
              <w:jc w:val="center"/>
              <w:outlineLvl w:val="0"/>
              <w:rPr>
                <w:rFonts w:ascii="Times New Roman" w:hAnsi="Times New Roman" w:cs="Times New Roman"/>
              </w:rPr>
            </w:pPr>
            <w:r w:rsidRPr="003A5DE9">
              <w:rPr>
                <w:rFonts w:ascii="Times New Roman" w:hAnsi="Times New Roman" w:cs="Times New Roman"/>
                <w:b/>
                <w:bCs/>
              </w:rPr>
              <w:t>Звітні документи</w:t>
            </w:r>
          </w:p>
        </w:tc>
        <w:tc>
          <w:tcPr>
            <w:tcW w:w="2268" w:type="dxa"/>
          </w:tcPr>
          <w:p w14:paraId="49A1CE63" w14:textId="77777777" w:rsidR="005D3C62" w:rsidRPr="003A5DE9" w:rsidRDefault="005D3C62" w:rsidP="00A817B6">
            <w:pPr>
              <w:keepNext/>
              <w:widowControl w:val="0"/>
              <w:spacing w:after="0" w:line="240" w:lineRule="auto"/>
              <w:jc w:val="center"/>
              <w:outlineLvl w:val="0"/>
              <w:rPr>
                <w:rFonts w:ascii="Times New Roman" w:hAnsi="Times New Roman" w:cs="Times New Roman"/>
              </w:rPr>
            </w:pPr>
            <w:r w:rsidRPr="003A5DE9">
              <w:rPr>
                <w:rFonts w:ascii="Times New Roman" w:hAnsi="Times New Roman" w:cs="Times New Roman"/>
                <w:b/>
                <w:bCs/>
              </w:rPr>
              <w:t>Граничний строк надання аудиторських послуг та їх результатів</w:t>
            </w:r>
          </w:p>
        </w:tc>
      </w:tr>
      <w:tr w:rsidR="005D3C62" w:rsidRPr="003A5DE9" w14:paraId="0A205715" w14:textId="77777777" w:rsidTr="00A26D13">
        <w:tc>
          <w:tcPr>
            <w:tcW w:w="1696" w:type="dxa"/>
            <w:vMerge w:val="restart"/>
            <w:vAlign w:val="center"/>
          </w:tcPr>
          <w:p w14:paraId="06918A4E" w14:textId="77777777" w:rsidR="005D3C62" w:rsidRPr="003A5DE9" w:rsidRDefault="005D3C62" w:rsidP="00A817B6">
            <w:pPr>
              <w:keepNext/>
              <w:widowControl w:val="0"/>
              <w:spacing w:after="0" w:line="240" w:lineRule="auto"/>
              <w:jc w:val="center"/>
              <w:outlineLvl w:val="0"/>
              <w:rPr>
                <w:rFonts w:ascii="Times New Roman" w:hAnsi="Times New Roman" w:cs="Times New Roman"/>
              </w:rPr>
            </w:pPr>
            <w:r w:rsidRPr="003A5DE9">
              <w:rPr>
                <w:rFonts w:ascii="Times New Roman" w:hAnsi="Times New Roman" w:cs="Times New Roman"/>
                <w:iCs/>
              </w:rPr>
              <w:t xml:space="preserve">Аудит річної фінансової звітності </w:t>
            </w:r>
            <w:r w:rsidRPr="003A5DE9">
              <w:rPr>
                <w:rFonts w:ascii="Times New Roman" w:hAnsi="Times New Roman" w:cs="Times New Roman"/>
              </w:rPr>
              <w:t>за 2025 рік</w:t>
            </w:r>
          </w:p>
          <w:p w14:paraId="1873910E" w14:textId="77777777" w:rsidR="005D3C62" w:rsidRPr="003A5DE9" w:rsidRDefault="005D3C62" w:rsidP="00A817B6">
            <w:pPr>
              <w:keepNext/>
              <w:widowControl w:val="0"/>
              <w:spacing w:after="0" w:line="240" w:lineRule="auto"/>
              <w:outlineLvl w:val="0"/>
              <w:rPr>
                <w:rFonts w:ascii="Times New Roman" w:hAnsi="Times New Roman" w:cs="Times New Roman"/>
              </w:rPr>
            </w:pPr>
          </w:p>
        </w:tc>
        <w:tc>
          <w:tcPr>
            <w:tcW w:w="5103" w:type="dxa"/>
            <w:vAlign w:val="center"/>
          </w:tcPr>
          <w:p w14:paraId="24907AD6" w14:textId="77777777" w:rsidR="005D3C62" w:rsidRPr="003A5DE9" w:rsidRDefault="005D3C62" w:rsidP="00A817B6">
            <w:pPr>
              <w:keepNext/>
              <w:widowControl w:val="0"/>
              <w:spacing w:after="0" w:line="240" w:lineRule="auto"/>
              <w:jc w:val="both"/>
              <w:outlineLvl w:val="0"/>
              <w:rPr>
                <w:rFonts w:ascii="Times New Roman" w:hAnsi="Times New Roman" w:cs="Times New Roman"/>
              </w:rPr>
            </w:pPr>
            <w:r w:rsidRPr="003A5DE9">
              <w:rPr>
                <w:rFonts w:ascii="Times New Roman" w:hAnsi="Times New Roman" w:cs="Times New Roman"/>
                <w:bCs/>
              </w:rPr>
              <w:t xml:space="preserve">Звіт незалежного аудитора щодо  річної фінансової звітності за 2025 рік станом на 31.12.2025 </w:t>
            </w:r>
          </w:p>
        </w:tc>
        <w:tc>
          <w:tcPr>
            <w:tcW w:w="2268" w:type="dxa"/>
            <w:vAlign w:val="center"/>
          </w:tcPr>
          <w:p w14:paraId="55C538C9" w14:textId="77777777" w:rsidR="005D3C62" w:rsidRPr="003A5DE9" w:rsidRDefault="005D3C62" w:rsidP="00A817B6">
            <w:pPr>
              <w:keepNext/>
              <w:widowControl w:val="0"/>
              <w:spacing w:after="0" w:line="240" w:lineRule="auto"/>
              <w:jc w:val="both"/>
              <w:outlineLvl w:val="0"/>
              <w:rPr>
                <w:rFonts w:ascii="Times New Roman" w:hAnsi="Times New Roman" w:cs="Times New Roman"/>
              </w:rPr>
            </w:pPr>
            <w:r w:rsidRPr="003A5DE9">
              <w:rPr>
                <w:rFonts w:ascii="Times New Roman" w:hAnsi="Times New Roman" w:cs="Times New Roman"/>
                <w:bCs/>
              </w:rPr>
              <w:t xml:space="preserve">не пізніше </w:t>
            </w:r>
            <w:r w:rsidRPr="003A5DE9">
              <w:rPr>
                <w:rFonts w:ascii="Times New Roman" w:hAnsi="Times New Roman" w:cs="Times New Roman"/>
                <w:bCs/>
              </w:rPr>
              <w:br/>
              <w:t>15 березня 2026 року</w:t>
            </w:r>
          </w:p>
        </w:tc>
      </w:tr>
      <w:tr w:rsidR="005D3C62" w:rsidRPr="003A5DE9" w14:paraId="34E4A9EF" w14:textId="77777777" w:rsidTr="00A26D13">
        <w:trPr>
          <w:trHeight w:val="20"/>
        </w:trPr>
        <w:tc>
          <w:tcPr>
            <w:tcW w:w="1696" w:type="dxa"/>
            <w:vMerge/>
            <w:vAlign w:val="center"/>
          </w:tcPr>
          <w:p w14:paraId="15B96EDD" w14:textId="77777777" w:rsidR="005D3C62" w:rsidRPr="003A5DE9" w:rsidRDefault="005D3C62" w:rsidP="00A817B6">
            <w:pPr>
              <w:keepNext/>
              <w:widowControl w:val="0"/>
              <w:spacing w:after="0" w:line="240" w:lineRule="auto"/>
              <w:outlineLvl w:val="0"/>
              <w:rPr>
                <w:rFonts w:ascii="Times New Roman" w:hAnsi="Times New Roman" w:cs="Times New Roman"/>
                <w:iCs/>
              </w:rPr>
            </w:pPr>
          </w:p>
        </w:tc>
        <w:tc>
          <w:tcPr>
            <w:tcW w:w="5103" w:type="dxa"/>
            <w:vAlign w:val="center"/>
          </w:tcPr>
          <w:p w14:paraId="05DECA8A" w14:textId="77777777" w:rsidR="005D3C62" w:rsidRPr="003A5DE9" w:rsidRDefault="005D3C62" w:rsidP="00A817B6">
            <w:pPr>
              <w:keepNext/>
              <w:widowControl w:val="0"/>
              <w:spacing w:after="0" w:line="240" w:lineRule="auto"/>
              <w:jc w:val="both"/>
              <w:outlineLvl w:val="0"/>
              <w:rPr>
                <w:rFonts w:ascii="Times New Roman" w:hAnsi="Times New Roman" w:cs="Times New Roman"/>
                <w:bCs/>
              </w:rPr>
            </w:pPr>
            <w:r w:rsidRPr="003A5DE9">
              <w:rPr>
                <w:rFonts w:ascii="Times New Roman" w:hAnsi="Times New Roman" w:cs="Times New Roman"/>
                <w:bCs/>
              </w:rPr>
              <w:t xml:space="preserve">Звіт для Наглядової ради Товариства </w:t>
            </w:r>
          </w:p>
        </w:tc>
        <w:tc>
          <w:tcPr>
            <w:tcW w:w="2268" w:type="dxa"/>
            <w:vAlign w:val="center"/>
          </w:tcPr>
          <w:p w14:paraId="4F0CB0BA" w14:textId="77777777" w:rsidR="005D3C62" w:rsidRPr="003A5DE9" w:rsidRDefault="005D3C62" w:rsidP="00A817B6">
            <w:pPr>
              <w:keepNext/>
              <w:widowControl w:val="0"/>
              <w:spacing w:after="0" w:line="240" w:lineRule="auto"/>
              <w:jc w:val="both"/>
              <w:outlineLvl w:val="0"/>
              <w:rPr>
                <w:rFonts w:ascii="Times New Roman" w:hAnsi="Times New Roman" w:cs="Times New Roman"/>
              </w:rPr>
            </w:pPr>
            <w:r w:rsidRPr="003A5DE9">
              <w:rPr>
                <w:rFonts w:ascii="Times New Roman" w:hAnsi="Times New Roman" w:cs="Times New Roman"/>
                <w:bCs/>
              </w:rPr>
              <w:t xml:space="preserve">не пізніше </w:t>
            </w:r>
            <w:r w:rsidRPr="003A5DE9">
              <w:rPr>
                <w:rFonts w:ascii="Times New Roman" w:hAnsi="Times New Roman" w:cs="Times New Roman"/>
                <w:bCs/>
              </w:rPr>
              <w:br/>
              <w:t>15 березня 2026 року</w:t>
            </w:r>
          </w:p>
        </w:tc>
      </w:tr>
      <w:tr w:rsidR="005D3C62" w:rsidRPr="003A5DE9" w14:paraId="3731C001" w14:textId="77777777" w:rsidTr="00A26D13">
        <w:trPr>
          <w:trHeight w:val="879"/>
        </w:trPr>
        <w:tc>
          <w:tcPr>
            <w:tcW w:w="1696" w:type="dxa"/>
            <w:vMerge/>
            <w:vAlign w:val="center"/>
          </w:tcPr>
          <w:p w14:paraId="435811E9" w14:textId="77777777" w:rsidR="005D3C62" w:rsidRPr="003A5DE9" w:rsidRDefault="005D3C62" w:rsidP="00A817B6">
            <w:pPr>
              <w:keepNext/>
              <w:widowControl w:val="0"/>
              <w:spacing w:after="0" w:line="240" w:lineRule="auto"/>
              <w:outlineLvl w:val="0"/>
              <w:rPr>
                <w:rFonts w:ascii="Times New Roman" w:hAnsi="Times New Roman" w:cs="Times New Roman"/>
                <w:iCs/>
              </w:rPr>
            </w:pPr>
          </w:p>
        </w:tc>
        <w:tc>
          <w:tcPr>
            <w:tcW w:w="5103" w:type="dxa"/>
            <w:vAlign w:val="center"/>
          </w:tcPr>
          <w:p w14:paraId="24B3FA8D" w14:textId="77777777" w:rsidR="005D3C62" w:rsidRPr="003A5DE9" w:rsidRDefault="005D3C62" w:rsidP="00A817B6">
            <w:pPr>
              <w:keepNext/>
              <w:widowControl w:val="0"/>
              <w:spacing w:after="0" w:line="240" w:lineRule="auto"/>
              <w:jc w:val="both"/>
              <w:outlineLvl w:val="0"/>
              <w:rPr>
                <w:rFonts w:ascii="Times New Roman" w:hAnsi="Times New Roman" w:cs="Times New Roman"/>
                <w:bCs/>
              </w:rPr>
            </w:pPr>
            <w:r w:rsidRPr="003A5DE9">
              <w:rPr>
                <w:rFonts w:ascii="Times New Roman" w:hAnsi="Times New Roman" w:cs="Times New Roman"/>
                <w:bCs/>
              </w:rPr>
              <w:t>Перевірка та підписання кваліфікованим електронним підписом річної фінансової звітності Товариства за 2025 рік, складеному в єдиному електронному форматі відповідно до Таксономії UA МСФЗ iXBRL</w:t>
            </w:r>
          </w:p>
        </w:tc>
        <w:tc>
          <w:tcPr>
            <w:tcW w:w="2268" w:type="dxa"/>
            <w:vAlign w:val="center"/>
          </w:tcPr>
          <w:p w14:paraId="279FC412" w14:textId="77777777" w:rsidR="005D3C62" w:rsidRPr="003A5DE9" w:rsidRDefault="005D3C62" w:rsidP="00A817B6">
            <w:pPr>
              <w:keepNext/>
              <w:widowControl w:val="0"/>
              <w:spacing w:after="0" w:line="240" w:lineRule="auto"/>
              <w:jc w:val="both"/>
              <w:outlineLvl w:val="0"/>
              <w:rPr>
                <w:rFonts w:ascii="Times New Roman" w:hAnsi="Times New Roman" w:cs="Times New Roman"/>
                <w:bCs/>
              </w:rPr>
            </w:pPr>
            <w:r w:rsidRPr="003A5DE9">
              <w:rPr>
                <w:rFonts w:ascii="Times New Roman" w:hAnsi="Times New Roman" w:cs="Times New Roman"/>
                <w:noProof/>
                <w:color w:val="000000"/>
              </w:rPr>
              <w:t xml:space="preserve">не пізніше </w:t>
            </w:r>
            <w:r w:rsidRPr="003A5DE9">
              <w:rPr>
                <w:rFonts w:ascii="Times New Roman" w:hAnsi="Times New Roman" w:cs="Times New Roman"/>
                <w:bCs/>
                <w:noProof/>
              </w:rPr>
              <w:t>15 березня 2026 року</w:t>
            </w:r>
          </w:p>
        </w:tc>
      </w:tr>
      <w:bookmarkEnd w:id="3"/>
    </w:tbl>
    <w:p w14:paraId="2C4EB07F" w14:textId="77777777" w:rsidR="001347F9" w:rsidRPr="003A5DE9" w:rsidRDefault="001347F9" w:rsidP="00A26D13">
      <w:pPr>
        <w:widowControl w:val="0"/>
        <w:tabs>
          <w:tab w:val="left" w:pos="1134"/>
        </w:tabs>
        <w:spacing w:after="0" w:line="240" w:lineRule="auto"/>
        <w:ind w:firstLine="567"/>
        <w:jc w:val="both"/>
        <w:rPr>
          <w:rFonts w:ascii="Times New Roman" w:hAnsi="Times New Roman" w:cs="Times New Roman"/>
          <w:b/>
          <w:bCs/>
          <w:sz w:val="24"/>
          <w:szCs w:val="24"/>
        </w:rPr>
      </w:pPr>
    </w:p>
    <w:p w14:paraId="3057FF8C" w14:textId="5B9CE01D" w:rsidR="0077444B" w:rsidRPr="003A5DE9" w:rsidRDefault="0077444B" w:rsidP="00A26D13">
      <w:pPr>
        <w:widowControl w:val="0"/>
        <w:tabs>
          <w:tab w:val="left" w:pos="1134"/>
        </w:tabs>
        <w:spacing w:after="0" w:line="240" w:lineRule="auto"/>
        <w:ind w:firstLine="567"/>
        <w:jc w:val="both"/>
        <w:rPr>
          <w:rFonts w:ascii="Times New Roman" w:hAnsi="Times New Roman" w:cs="Times New Roman"/>
          <w:b/>
          <w:bCs/>
          <w:sz w:val="24"/>
          <w:szCs w:val="24"/>
        </w:rPr>
      </w:pPr>
      <w:r w:rsidRPr="003A5DE9">
        <w:rPr>
          <w:rFonts w:ascii="Times New Roman" w:hAnsi="Times New Roman" w:cs="Times New Roman"/>
          <w:b/>
          <w:bCs/>
          <w:sz w:val="24"/>
          <w:szCs w:val="24"/>
        </w:rPr>
        <w:t>Умови договору на надання аудиторських послуг.</w:t>
      </w:r>
    </w:p>
    <w:p w14:paraId="679BD568" w14:textId="77777777" w:rsidR="005D3C62" w:rsidRPr="003A5DE9" w:rsidRDefault="005D3C62" w:rsidP="00A26D13">
      <w:pPr>
        <w:pStyle w:val="xfmc1"/>
        <w:widowControl w:val="0"/>
        <w:numPr>
          <w:ilvl w:val="0"/>
          <w:numId w:val="6"/>
        </w:numPr>
        <w:shd w:val="clear" w:color="auto" w:fill="FFFFFF"/>
        <w:tabs>
          <w:tab w:val="left" w:pos="851"/>
        </w:tabs>
        <w:spacing w:before="0" w:beforeAutospacing="0" w:after="0" w:afterAutospacing="0"/>
        <w:ind w:left="0" w:firstLine="567"/>
        <w:jc w:val="both"/>
        <w:rPr>
          <w:noProof/>
          <w:color w:val="000000"/>
        </w:rPr>
      </w:pPr>
      <w:bookmarkStart w:id="4" w:name="_Hlk184033424"/>
      <w:r w:rsidRPr="003A5DE9">
        <w:rPr>
          <w:rFonts w:eastAsia="Calibri"/>
          <w:noProof/>
          <w:lang w:eastAsia="ru-RU"/>
        </w:rPr>
        <w:t xml:space="preserve">предмет договору: надання послуг з проведення аудиту фінансової звітності Товариства, код згідно з Єдиним закупівельним словником </w:t>
      </w:r>
      <w:r w:rsidRPr="003A5DE9">
        <w:rPr>
          <w:rFonts w:eastAsia="Calibri"/>
          <w:noProof/>
          <w:lang w:eastAsia="ru-RU"/>
        </w:rPr>
        <w:br/>
        <w:t xml:space="preserve">ДК021:2015 – </w:t>
      </w:r>
      <w:r w:rsidRPr="003A5DE9">
        <w:rPr>
          <w:rFonts w:eastAsia="Calibri"/>
          <w:noProof/>
          <w:color w:val="000000"/>
          <w:lang w:eastAsia="en-US"/>
        </w:rPr>
        <w:t>“</w:t>
      </w:r>
      <w:r w:rsidRPr="003A5DE9">
        <w:rPr>
          <w:rFonts w:eastAsia="Calibri"/>
          <w:noProof/>
          <w:lang w:eastAsia="ru-RU"/>
        </w:rPr>
        <w:t>79210000-9 Бухгалтерські та аудиторські послуги</w:t>
      </w:r>
      <w:r w:rsidRPr="003A5DE9">
        <w:rPr>
          <w:rFonts w:eastAsia="Calibri"/>
          <w:noProof/>
          <w:color w:val="000000"/>
          <w:lang w:eastAsia="en-US"/>
        </w:rPr>
        <w:t xml:space="preserve">” </w:t>
      </w:r>
      <w:r w:rsidRPr="003A5DE9">
        <w:rPr>
          <w:rFonts w:eastAsia="Calibri"/>
          <w:noProof/>
          <w:lang w:eastAsia="ru-RU"/>
        </w:rPr>
        <w:t>та уточнений код 79212300-6 (послуги з проведення обов’язкової аудиторської перевірки), відповідно до міжнародних стандартів аудиту (МСА) та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затверджених рішенням НКЦПФР від 22.07.2021 № 555, які включають:</w:t>
      </w:r>
    </w:p>
    <w:p w14:paraId="6056F6FB" w14:textId="77777777" w:rsidR="005D3C62" w:rsidRPr="003A5DE9" w:rsidRDefault="005D3C62" w:rsidP="00A26D13">
      <w:pPr>
        <w:pStyle w:val="xfmc1"/>
        <w:widowControl w:val="0"/>
        <w:shd w:val="clear" w:color="auto" w:fill="FFFFFF"/>
        <w:tabs>
          <w:tab w:val="left" w:pos="851"/>
        </w:tabs>
        <w:spacing w:before="0" w:beforeAutospacing="0" w:after="0" w:afterAutospacing="0"/>
        <w:ind w:firstLine="567"/>
        <w:jc w:val="both"/>
        <w:rPr>
          <w:noProof/>
          <w:color w:val="000000"/>
        </w:rPr>
      </w:pPr>
      <w:r w:rsidRPr="003A5DE9">
        <w:rPr>
          <w:rFonts w:eastAsia="Calibri"/>
          <w:noProof/>
          <w:color w:val="000000"/>
          <w:lang w:eastAsia="ru-RU"/>
        </w:rPr>
        <w:t xml:space="preserve">аудит річної фінансової звітності за 2025 рік, </w:t>
      </w:r>
      <w:r w:rsidRPr="003A5DE9">
        <w:t xml:space="preserve">в тому числі складеної в єдиному </w:t>
      </w:r>
      <w:r w:rsidRPr="003A5DE9">
        <w:lastRenderedPageBreak/>
        <w:t>електронному форматі відповідно до Таксономії UA МСФЗ iXBRL;</w:t>
      </w:r>
    </w:p>
    <w:p w14:paraId="034DF339" w14:textId="68CA498B" w:rsidR="005D3C62" w:rsidRPr="003A5DE9" w:rsidRDefault="005D3C62" w:rsidP="00A26D13">
      <w:pPr>
        <w:pStyle w:val="xfmc1"/>
        <w:widowControl w:val="0"/>
        <w:numPr>
          <w:ilvl w:val="0"/>
          <w:numId w:val="6"/>
        </w:numPr>
        <w:shd w:val="clear" w:color="auto" w:fill="FFFFFF"/>
        <w:tabs>
          <w:tab w:val="left" w:pos="851"/>
        </w:tabs>
        <w:spacing w:before="0" w:beforeAutospacing="0" w:after="0" w:afterAutospacing="0"/>
        <w:ind w:left="0" w:firstLine="567"/>
        <w:jc w:val="both"/>
        <w:rPr>
          <w:noProof/>
          <w:color w:val="000000"/>
        </w:rPr>
      </w:pPr>
      <w:r w:rsidRPr="003A5DE9">
        <w:rPr>
          <w:noProof/>
          <w:color w:val="000000"/>
        </w:rPr>
        <w:t xml:space="preserve">гранична вартість послуг не може перевищувати </w:t>
      </w:r>
      <w:r w:rsidRPr="003A5DE9">
        <w:rPr>
          <w:noProof/>
          <w:color w:val="000000"/>
          <w:lang w:bidi="uk-UA"/>
        </w:rPr>
        <w:t>414 000,00</w:t>
      </w:r>
      <w:r w:rsidRPr="003A5DE9">
        <w:rPr>
          <w:noProof/>
          <w:color w:val="000000"/>
        </w:rPr>
        <w:t> грн без ПДВ;</w:t>
      </w:r>
    </w:p>
    <w:p w14:paraId="607884BB" w14:textId="77777777" w:rsidR="005D3C62" w:rsidRPr="003A5DE9" w:rsidRDefault="005D3C62" w:rsidP="00A26D13">
      <w:pPr>
        <w:pStyle w:val="xfmc1"/>
        <w:widowControl w:val="0"/>
        <w:numPr>
          <w:ilvl w:val="0"/>
          <w:numId w:val="6"/>
        </w:numPr>
        <w:shd w:val="clear" w:color="auto" w:fill="FFFFFF"/>
        <w:tabs>
          <w:tab w:val="left" w:pos="851"/>
        </w:tabs>
        <w:spacing w:before="0" w:beforeAutospacing="0" w:after="0" w:afterAutospacing="0"/>
        <w:ind w:left="0" w:firstLine="567"/>
        <w:jc w:val="both"/>
        <w:rPr>
          <w:noProof/>
          <w:color w:val="000000"/>
        </w:rPr>
      </w:pPr>
      <w:r w:rsidRPr="003A5DE9">
        <w:rPr>
          <w:noProof/>
          <w:color w:val="000000"/>
        </w:rPr>
        <w:t>порядок оплати: протягом 30 календарних днів з дати підписання сторонами акта здачі-приймання наданих послуг, зокрема, за відповідним етапом;</w:t>
      </w:r>
    </w:p>
    <w:p w14:paraId="0A88EE87" w14:textId="77777777" w:rsidR="005D3C62" w:rsidRPr="003A5DE9" w:rsidRDefault="005D3C62" w:rsidP="00A26D13">
      <w:pPr>
        <w:pStyle w:val="xfmc1"/>
        <w:widowControl w:val="0"/>
        <w:numPr>
          <w:ilvl w:val="0"/>
          <w:numId w:val="6"/>
        </w:numPr>
        <w:shd w:val="clear" w:color="auto" w:fill="FFFFFF"/>
        <w:tabs>
          <w:tab w:val="left" w:pos="851"/>
        </w:tabs>
        <w:spacing w:before="0" w:beforeAutospacing="0" w:after="0" w:afterAutospacing="0"/>
        <w:ind w:left="0" w:firstLine="567"/>
        <w:jc w:val="both"/>
        <w:rPr>
          <w:noProof/>
          <w:color w:val="000000"/>
        </w:rPr>
      </w:pPr>
      <w:r w:rsidRPr="003A5DE9">
        <w:rPr>
          <w:noProof/>
          <w:color w:val="000000"/>
        </w:rPr>
        <w:t>граничні терміни надання послуг:</w:t>
      </w:r>
    </w:p>
    <w:p w14:paraId="42336D6F" w14:textId="77777777" w:rsidR="005D3C62" w:rsidRPr="003A5DE9" w:rsidRDefault="005D3C62" w:rsidP="00A26D13">
      <w:pPr>
        <w:pStyle w:val="xfmc1"/>
        <w:widowControl w:val="0"/>
        <w:shd w:val="clear" w:color="auto" w:fill="FFFFFF"/>
        <w:tabs>
          <w:tab w:val="left" w:pos="851"/>
        </w:tabs>
        <w:spacing w:before="0" w:beforeAutospacing="0" w:after="0" w:afterAutospacing="0"/>
        <w:ind w:firstLine="567"/>
        <w:jc w:val="both"/>
        <w:rPr>
          <w:noProof/>
          <w:color w:val="000000"/>
        </w:rPr>
      </w:pPr>
      <w:r w:rsidRPr="003A5DE9">
        <w:rPr>
          <w:noProof/>
          <w:color w:val="000000"/>
        </w:rPr>
        <w:t xml:space="preserve">звіт незалежного аудитора щодо річної фінансової звітності Товариства за 2025 рік станом на 31.12.2025 – не пізніше </w:t>
      </w:r>
      <w:r w:rsidRPr="003A5DE9">
        <w:rPr>
          <w:bCs/>
          <w:noProof/>
        </w:rPr>
        <w:t>15 березня 2026 року</w:t>
      </w:r>
      <w:r w:rsidRPr="003A5DE9">
        <w:rPr>
          <w:noProof/>
          <w:color w:val="000000"/>
        </w:rPr>
        <w:t>;</w:t>
      </w:r>
    </w:p>
    <w:p w14:paraId="49FA2499" w14:textId="77777777" w:rsidR="005D3C62" w:rsidRPr="003A5DE9" w:rsidRDefault="005D3C62" w:rsidP="00A26D13">
      <w:pPr>
        <w:pStyle w:val="xfmc1"/>
        <w:widowControl w:val="0"/>
        <w:shd w:val="clear" w:color="auto" w:fill="FFFFFF"/>
        <w:tabs>
          <w:tab w:val="left" w:pos="851"/>
          <w:tab w:val="left" w:pos="1134"/>
        </w:tabs>
        <w:spacing w:before="0" w:beforeAutospacing="0" w:after="0" w:afterAutospacing="0"/>
        <w:ind w:firstLine="567"/>
        <w:jc w:val="both"/>
        <w:rPr>
          <w:noProof/>
          <w:color w:val="000000"/>
        </w:rPr>
      </w:pPr>
      <w:r w:rsidRPr="003A5DE9">
        <w:rPr>
          <w:noProof/>
          <w:color w:val="000000"/>
        </w:rPr>
        <w:t xml:space="preserve">звіт для Наглядової ради Товариства – не пізніше </w:t>
      </w:r>
      <w:r w:rsidRPr="003A5DE9">
        <w:rPr>
          <w:bCs/>
          <w:noProof/>
        </w:rPr>
        <w:t>15 березня 2026 року</w:t>
      </w:r>
      <w:r w:rsidRPr="003A5DE9">
        <w:rPr>
          <w:noProof/>
          <w:color w:val="000000"/>
        </w:rPr>
        <w:t>;</w:t>
      </w:r>
    </w:p>
    <w:p w14:paraId="1C5AE34B" w14:textId="77777777" w:rsidR="005D3C62" w:rsidRPr="003A5DE9" w:rsidRDefault="005D3C62" w:rsidP="00A26D13">
      <w:pPr>
        <w:pStyle w:val="xfmc1"/>
        <w:widowControl w:val="0"/>
        <w:shd w:val="clear" w:color="auto" w:fill="FFFFFF"/>
        <w:tabs>
          <w:tab w:val="left" w:pos="851"/>
          <w:tab w:val="left" w:pos="1134"/>
        </w:tabs>
        <w:spacing w:before="0" w:beforeAutospacing="0" w:after="0" w:afterAutospacing="0"/>
        <w:ind w:firstLine="567"/>
        <w:jc w:val="both"/>
        <w:rPr>
          <w:noProof/>
          <w:color w:val="000000"/>
        </w:rPr>
      </w:pPr>
      <w:r w:rsidRPr="003A5DE9">
        <w:t>перевірка та підписання кваліфікованим електронним підписом річної фінансової звітності Товариства за 2025 рік, складеному в єдиному електронному форматі відповідно до Таксономії UA МСФЗ iXBRL – не пізніше 15 березня 2026 року.</w:t>
      </w:r>
    </w:p>
    <w:bookmarkEnd w:id="4"/>
    <w:p w14:paraId="7C3C81B1" w14:textId="77777777" w:rsidR="0077444B" w:rsidRPr="003A5DE9" w:rsidRDefault="0077444B" w:rsidP="00A26D13">
      <w:pPr>
        <w:widowControl w:val="0"/>
        <w:tabs>
          <w:tab w:val="left" w:pos="1134"/>
        </w:tabs>
        <w:spacing w:after="0" w:line="240" w:lineRule="auto"/>
        <w:ind w:firstLine="567"/>
        <w:jc w:val="both"/>
        <w:rPr>
          <w:rFonts w:ascii="Times New Roman" w:hAnsi="Times New Roman" w:cs="Times New Roman"/>
          <w:sz w:val="24"/>
          <w:szCs w:val="24"/>
        </w:rPr>
      </w:pPr>
    </w:p>
    <w:p w14:paraId="1F4ADD10"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b/>
          <w:bCs/>
          <w:sz w:val="24"/>
          <w:szCs w:val="24"/>
        </w:rPr>
      </w:pPr>
      <w:r w:rsidRPr="003A5DE9">
        <w:rPr>
          <w:rFonts w:ascii="Times New Roman" w:hAnsi="Times New Roman" w:cs="Times New Roman"/>
          <w:b/>
          <w:bCs/>
          <w:sz w:val="24"/>
          <w:szCs w:val="24"/>
        </w:rPr>
        <w:t>Критерії відбору.</w:t>
      </w:r>
    </w:p>
    <w:p w14:paraId="160F65D1" w14:textId="77777777" w:rsidR="007E066E" w:rsidRPr="003A5DE9" w:rsidRDefault="007E066E" w:rsidP="00A26D13">
      <w:pPr>
        <w:widowControl w:val="0"/>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Для участі у конкурсі суб’єкт аудиторської діяльності повинен відповідати таким критеріям відбору:</w:t>
      </w:r>
    </w:p>
    <w:p w14:paraId="67C1B37A" w14:textId="77777777" w:rsidR="007E066E" w:rsidRPr="003A5DE9" w:rsidRDefault="007E066E" w:rsidP="00A26D13">
      <w:pPr>
        <w:pStyle w:val="a9"/>
        <w:widowControl w:val="0"/>
        <w:numPr>
          <w:ilvl w:val="0"/>
          <w:numId w:val="1"/>
        </w:numPr>
        <w:tabs>
          <w:tab w:val="left" w:pos="567"/>
        </w:tabs>
        <w:spacing w:after="0" w:line="240" w:lineRule="auto"/>
        <w:ind w:left="0" w:firstLine="567"/>
        <w:jc w:val="both"/>
        <w:rPr>
          <w:rFonts w:ascii="Times New Roman" w:hAnsi="Times New Roman" w:cs="Times New Roman"/>
          <w:sz w:val="24"/>
          <w:szCs w:val="24"/>
        </w:rPr>
      </w:pPr>
      <w:bookmarkStart w:id="5" w:name="_Hlk156396551"/>
      <w:r w:rsidRPr="003A5DE9">
        <w:rPr>
          <w:rFonts w:ascii="Times New Roman" w:hAnsi="Times New Roman" w:cs="Times New Roman"/>
          <w:sz w:val="24"/>
          <w:szCs w:val="24"/>
        </w:rPr>
        <w:t xml:space="preserve">інформація про суб’єкта аудиторської діяльності </w:t>
      </w:r>
      <w:bookmarkEnd w:id="5"/>
      <w:r w:rsidRPr="003A5DE9">
        <w:rPr>
          <w:rFonts w:ascii="Times New Roman" w:hAnsi="Times New Roman" w:cs="Times New Roman"/>
          <w:sz w:val="24"/>
          <w:szCs w:val="24"/>
        </w:rPr>
        <w:t xml:space="preserve">повинна бути внесена 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 Реєстру аудиторів та суб’єктів аудиторської діяльності; </w:t>
      </w:r>
    </w:p>
    <w:p w14:paraId="0D0F4423" w14:textId="77777777" w:rsidR="007E066E" w:rsidRPr="003A5DE9" w:rsidRDefault="007E066E" w:rsidP="00A26D13">
      <w:pPr>
        <w:pStyle w:val="a9"/>
        <w:widowControl w:val="0"/>
        <w:numPr>
          <w:ilvl w:val="0"/>
          <w:numId w:val="1"/>
        </w:numPr>
        <w:tabs>
          <w:tab w:val="left" w:pos="567"/>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суб’єкт аудиторської діяльності (учасники аудиторської мережі у випадках, передбачених законом) не надає послуг, надання яких обмежено статтею 27 Закону України «</w:t>
      </w:r>
      <w:r w:rsidRPr="003A5DE9">
        <w:rPr>
          <w:rFonts w:ascii="Times New Roman" w:hAnsi="Times New Roman" w:cs="Times New Roman"/>
          <w:color w:val="000000"/>
          <w:sz w:val="24"/>
          <w:szCs w:val="24"/>
        </w:rPr>
        <w:t>Про аудит фінансової звітності та аудиторську діяльність»</w:t>
      </w:r>
      <w:r w:rsidRPr="003A5DE9">
        <w:rPr>
          <w:rFonts w:ascii="Times New Roman" w:hAnsi="Times New Roman" w:cs="Times New Roman"/>
          <w:sz w:val="24"/>
          <w:szCs w:val="24"/>
        </w:rPr>
        <w:t>;</w:t>
      </w:r>
    </w:p>
    <w:p w14:paraId="1DB5AD03" w14:textId="77777777" w:rsidR="007E066E" w:rsidRPr="003A5DE9" w:rsidRDefault="007E066E" w:rsidP="00A26D13">
      <w:pPr>
        <w:pStyle w:val="a9"/>
        <w:widowControl w:val="0"/>
        <w:numPr>
          <w:ilvl w:val="0"/>
          <w:numId w:val="1"/>
        </w:numPr>
        <w:tabs>
          <w:tab w:val="left" w:pos="567"/>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відсутні обмеження, пов’язані з тривалістю надання аудиторських послуг Товариству, зазначені у статті 30 Закону України «</w:t>
      </w:r>
      <w:r w:rsidRPr="003A5DE9">
        <w:rPr>
          <w:rFonts w:ascii="Times New Roman" w:hAnsi="Times New Roman" w:cs="Times New Roman"/>
          <w:color w:val="000000"/>
          <w:sz w:val="24"/>
          <w:szCs w:val="24"/>
        </w:rPr>
        <w:t>Про аудит фінансової звітності та аудиторську діяльність»</w:t>
      </w:r>
      <w:r w:rsidRPr="003A5DE9">
        <w:rPr>
          <w:rFonts w:ascii="Times New Roman" w:hAnsi="Times New Roman" w:cs="Times New Roman"/>
          <w:sz w:val="24"/>
          <w:szCs w:val="24"/>
        </w:rPr>
        <w:t>;</w:t>
      </w:r>
    </w:p>
    <w:p w14:paraId="5DBB0BB4" w14:textId="77777777" w:rsidR="007E066E" w:rsidRPr="003A5DE9" w:rsidRDefault="007E066E" w:rsidP="00A26D13">
      <w:pPr>
        <w:pStyle w:val="a9"/>
        <w:widowControl w:val="0"/>
        <w:numPr>
          <w:ilvl w:val="0"/>
          <w:numId w:val="1"/>
        </w:numPr>
        <w:tabs>
          <w:tab w:val="left" w:pos="567"/>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суб’єкт аудиторської діяльності є незалежним та об’єктивним у розумінні Закону України «</w:t>
      </w:r>
      <w:r w:rsidRPr="003A5DE9">
        <w:rPr>
          <w:rFonts w:ascii="Times New Roman" w:hAnsi="Times New Roman" w:cs="Times New Roman"/>
          <w:color w:val="000000"/>
          <w:sz w:val="24"/>
          <w:szCs w:val="24"/>
        </w:rPr>
        <w:t>Про аудит фінансової звітності та аудиторську діяльність»</w:t>
      </w:r>
      <w:r w:rsidRPr="003A5DE9">
        <w:rPr>
          <w:rFonts w:ascii="Times New Roman" w:hAnsi="Times New Roman" w:cs="Times New Roman"/>
          <w:sz w:val="24"/>
          <w:szCs w:val="24"/>
        </w:rPr>
        <w:t xml:space="preserve"> та Міжнародних стандартів аудиту;</w:t>
      </w:r>
    </w:p>
    <w:p w14:paraId="6BBCDA65" w14:textId="77777777" w:rsidR="007E066E" w:rsidRPr="003A5DE9" w:rsidRDefault="007E066E" w:rsidP="00A26D13">
      <w:pPr>
        <w:pStyle w:val="a9"/>
        <w:widowControl w:val="0"/>
        <w:numPr>
          <w:ilvl w:val="0"/>
          <w:numId w:val="1"/>
        </w:numPr>
        <w:tabs>
          <w:tab w:val="left" w:pos="567"/>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суб’єкт аудиторської діяльності протягом останніх трьох років не притягувався до відповідальності за порушення вимог, передбачених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торгів, аукціонів, конкурсів, тендерів;</w:t>
      </w:r>
    </w:p>
    <w:p w14:paraId="47134502" w14:textId="77777777" w:rsidR="007E066E" w:rsidRPr="003A5DE9" w:rsidRDefault="007E066E" w:rsidP="00A26D13">
      <w:pPr>
        <w:pStyle w:val="a9"/>
        <w:widowControl w:val="0"/>
        <w:numPr>
          <w:ilvl w:val="0"/>
          <w:numId w:val="1"/>
        </w:numPr>
        <w:tabs>
          <w:tab w:val="left" w:pos="567"/>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суб’єкта аудиторської діяльності не внесено до Єдиного реєстру підприємств, щодо яких порушено провадження у справі про банкрутство;</w:t>
      </w:r>
    </w:p>
    <w:p w14:paraId="494B425B" w14:textId="77777777" w:rsidR="007E066E" w:rsidRPr="003A5DE9" w:rsidRDefault="007E066E" w:rsidP="00A26D13">
      <w:pPr>
        <w:pStyle w:val="a9"/>
        <w:widowControl w:val="0"/>
        <w:numPr>
          <w:ilvl w:val="0"/>
          <w:numId w:val="1"/>
        </w:numPr>
        <w:tabs>
          <w:tab w:val="left" w:pos="567"/>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суб’єкт аудиторської діяльності не має заборгованості зі сплати податків і зборів (обов’язкових платежів);</w:t>
      </w:r>
    </w:p>
    <w:p w14:paraId="673D74B9" w14:textId="77777777" w:rsidR="007E066E" w:rsidRPr="003A5DE9" w:rsidRDefault="007E066E" w:rsidP="00A26D13">
      <w:pPr>
        <w:pStyle w:val="a9"/>
        <w:widowControl w:val="0"/>
        <w:numPr>
          <w:ilvl w:val="0"/>
          <w:numId w:val="1"/>
        </w:numPr>
        <w:tabs>
          <w:tab w:val="left" w:pos="567"/>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відомості про суб’єкта аудиторської діяльності не внесено до Єдиного державного реєстру осіб, які вчинили корупційні або пов’язані з корупцією правопорушення;</w:t>
      </w:r>
    </w:p>
    <w:p w14:paraId="3BB3CAFA" w14:textId="77777777" w:rsidR="007E066E" w:rsidRPr="003A5DE9" w:rsidRDefault="007E066E" w:rsidP="00A26D13">
      <w:pPr>
        <w:pStyle w:val="a9"/>
        <w:widowControl w:val="0"/>
        <w:numPr>
          <w:ilvl w:val="0"/>
          <w:numId w:val="1"/>
        </w:numPr>
        <w:tabs>
          <w:tab w:val="left" w:pos="567"/>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до суб’єкта аудиторської діяльності не застосовано спеціальні економічні та інші обмежувальні заходи згідно із Законом України «Про санкції»;</w:t>
      </w:r>
    </w:p>
    <w:p w14:paraId="7B7EB6A1" w14:textId="77777777" w:rsidR="007E066E" w:rsidRPr="003A5DE9" w:rsidRDefault="007E066E" w:rsidP="00A26D13">
      <w:pPr>
        <w:pStyle w:val="a9"/>
        <w:widowControl w:val="0"/>
        <w:numPr>
          <w:ilvl w:val="0"/>
          <w:numId w:val="1"/>
        </w:numPr>
        <w:tabs>
          <w:tab w:val="left" w:pos="567"/>
          <w:tab w:val="left" w:pos="709"/>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операції з суб’єктом аудиторської діяльності не підпадають під мораторій (заборону), встановлений постановою Кабінету Міністрів України від 03.03.2022 № 187 «</w:t>
      </w:r>
      <w:r w:rsidRPr="003A5DE9">
        <w:rPr>
          <w:rFonts w:ascii="Times New Roman" w:hAnsi="Times New Roman" w:cs="Times New Roman"/>
          <w:sz w:val="24"/>
          <w:szCs w:val="24"/>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Pr="003A5DE9">
        <w:rPr>
          <w:rFonts w:ascii="Times New Roman" w:hAnsi="Times New Roman" w:cs="Times New Roman"/>
          <w:sz w:val="24"/>
          <w:szCs w:val="24"/>
        </w:rPr>
        <w:t>»;</w:t>
      </w:r>
    </w:p>
    <w:p w14:paraId="47312836" w14:textId="77777777" w:rsidR="007E066E" w:rsidRPr="003A5DE9" w:rsidRDefault="007E066E" w:rsidP="00A26D13">
      <w:pPr>
        <w:pStyle w:val="a9"/>
        <w:widowControl w:val="0"/>
        <w:numPr>
          <w:ilvl w:val="0"/>
          <w:numId w:val="1"/>
        </w:numPr>
        <w:tabs>
          <w:tab w:val="left" w:pos="567"/>
          <w:tab w:val="left" w:pos="709"/>
        </w:tabs>
        <w:spacing w:after="0" w:line="240" w:lineRule="auto"/>
        <w:ind w:left="0" w:firstLine="567"/>
        <w:jc w:val="both"/>
        <w:rPr>
          <w:rFonts w:ascii="Times New Roman" w:hAnsi="Times New Roman" w:cs="Times New Roman"/>
          <w:sz w:val="24"/>
          <w:szCs w:val="24"/>
        </w:rPr>
      </w:pPr>
      <w:bookmarkStart w:id="6" w:name="_Hlk156480194"/>
      <w:bookmarkStart w:id="7" w:name="_Hlk156480104"/>
      <w:r w:rsidRPr="003A5DE9">
        <w:rPr>
          <w:rFonts w:ascii="Times New Roman" w:hAnsi="Times New Roman" w:cs="Times New Roman"/>
          <w:sz w:val="24"/>
          <w:szCs w:val="24"/>
        </w:rPr>
        <w:t xml:space="preserve">у суб’єкта аудиторської діяльності відсутні не виправлені рекомендації </w:t>
      </w:r>
      <w:bookmarkEnd w:id="6"/>
      <w:r w:rsidRPr="003A5DE9">
        <w:rPr>
          <w:rFonts w:ascii="Times New Roman" w:hAnsi="Times New Roman" w:cs="Times New Roman"/>
          <w:sz w:val="24"/>
          <w:szCs w:val="24"/>
        </w:rPr>
        <w:t>за результатами перевірки контролю якості аудиторських послуг</w:t>
      </w:r>
      <w:bookmarkEnd w:id="7"/>
      <w:r w:rsidRPr="003A5DE9">
        <w:rPr>
          <w:rFonts w:ascii="Times New Roman" w:hAnsi="Times New Roman" w:cs="Times New Roman"/>
          <w:sz w:val="24"/>
          <w:szCs w:val="24"/>
        </w:rPr>
        <w:t>;</w:t>
      </w:r>
    </w:p>
    <w:p w14:paraId="43E084D8" w14:textId="77777777" w:rsidR="007E066E" w:rsidRPr="003A5DE9" w:rsidRDefault="007E066E" w:rsidP="00A26D13">
      <w:pPr>
        <w:pStyle w:val="a9"/>
        <w:widowControl w:val="0"/>
        <w:numPr>
          <w:ilvl w:val="0"/>
          <w:numId w:val="1"/>
        </w:numPr>
        <w:tabs>
          <w:tab w:val="left" w:pos="567"/>
          <w:tab w:val="left" w:pos="709"/>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наявність у суб’єкта аудиторської діяльності аудиторів і персоналу з достатнім рівнем кваліфікації та досвіду, які залучатимуться до виконання завдань з аудиту фінансової звітності (за основним місцем роботи на умовах нормальної тривалості робочого часу не менше 40 годин на тиждень має працювати не менше двадцяти  аудиторів, які залучаються до виконання завдань, з яких не менше семи аудиторів мають чинні сертифікати (дипломи) професійних організацій, що підтверджують високий рівень знань </w:t>
      </w:r>
      <w:r w:rsidRPr="003A5DE9">
        <w:rPr>
          <w:rFonts w:ascii="Times New Roman" w:hAnsi="Times New Roman" w:cs="Times New Roman"/>
          <w:sz w:val="24"/>
          <w:szCs w:val="24"/>
        </w:rPr>
        <w:lastRenderedPageBreak/>
        <w:t>з міжнародних стандартів фінансової звітності);</w:t>
      </w:r>
    </w:p>
    <w:p w14:paraId="17553B85" w14:textId="77777777" w:rsidR="007E066E" w:rsidRPr="003A5DE9" w:rsidRDefault="007E066E" w:rsidP="00A26D13">
      <w:pPr>
        <w:pStyle w:val="a9"/>
        <w:widowControl w:val="0"/>
        <w:numPr>
          <w:ilvl w:val="0"/>
          <w:numId w:val="1"/>
        </w:numPr>
        <w:tabs>
          <w:tab w:val="left" w:pos="567"/>
          <w:tab w:val="left" w:pos="709"/>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наявність у суб’єкта аудиторської діяльності досвіду надання послуг з  аудиту фінансової звітності суб’єктам господарювання нафтогазової галузі не менше 2-х (двох) років;</w:t>
      </w:r>
    </w:p>
    <w:p w14:paraId="3BD92A1E" w14:textId="77777777" w:rsidR="007E066E" w:rsidRPr="003A5DE9" w:rsidRDefault="007E066E" w:rsidP="00A26D13">
      <w:pPr>
        <w:pStyle w:val="a9"/>
        <w:widowControl w:val="0"/>
        <w:numPr>
          <w:ilvl w:val="0"/>
          <w:numId w:val="1"/>
        </w:numPr>
        <w:tabs>
          <w:tab w:val="left" w:pos="567"/>
          <w:tab w:val="left" w:pos="709"/>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наявність у суб’єкта аудиторської діяльності договору страхування відповідальності суб’єкта аудиторської діяльності перед третіми особами щодо відшкодування можливих збитків у зв’язку із провадженням професійної діяльності на суму не менш як 24 млн. гривень, який повинен діяти протягом усього періоду надання аудиторських послуг.</w:t>
      </w:r>
    </w:p>
    <w:p w14:paraId="1531A1B5"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b/>
          <w:bCs/>
          <w:sz w:val="24"/>
          <w:szCs w:val="24"/>
        </w:rPr>
      </w:pPr>
    </w:p>
    <w:p w14:paraId="2C156A4E"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b/>
          <w:bCs/>
          <w:sz w:val="24"/>
          <w:szCs w:val="24"/>
        </w:rPr>
      </w:pPr>
      <w:r w:rsidRPr="003A5DE9">
        <w:rPr>
          <w:rFonts w:ascii="Times New Roman" w:hAnsi="Times New Roman" w:cs="Times New Roman"/>
          <w:b/>
          <w:bCs/>
          <w:sz w:val="24"/>
          <w:szCs w:val="24"/>
        </w:rPr>
        <w:t xml:space="preserve">Перелік </w:t>
      </w:r>
      <w:bookmarkStart w:id="8" w:name="_Hlk156480623"/>
      <w:r w:rsidRPr="003A5DE9">
        <w:rPr>
          <w:rFonts w:ascii="Times New Roman" w:hAnsi="Times New Roman" w:cs="Times New Roman"/>
          <w:b/>
          <w:bCs/>
          <w:sz w:val="24"/>
          <w:szCs w:val="24"/>
        </w:rPr>
        <w:t xml:space="preserve">документів, які надаються </w:t>
      </w:r>
      <w:bookmarkStart w:id="9" w:name="_Hlk156480425"/>
      <w:r w:rsidRPr="003A5DE9">
        <w:rPr>
          <w:rFonts w:ascii="Times New Roman" w:hAnsi="Times New Roman" w:cs="Times New Roman"/>
          <w:b/>
          <w:bCs/>
          <w:sz w:val="24"/>
          <w:szCs w:val="24"/>
        </w:rPr>
        <w:t>суб’єктом аудиторської діяльності, який має намір брати участь у конкурсі</w:t>
      </w:r>
      <w:bookmarkEnd w:id="8"/>
      <w:bookmarkEnd w:id="9"/>
      <w:r w:rsidRPr="003A5DE9">
        <w:rPr>
          <w:rFonts w:ascii="Times New Roman" w:hAnsi="Times New Roman" w:cs="Times New Roman"/>
          <w:b/>
          <w:bCs/>
          <w:sz w:val="24"/>
          <w:szCs w:val="24"/>
        </w:rPr>
        <w:t>, спосіб їх подання.</w:t>
      </w:r>
    </w:p>
    <w:p w14:paraId="4C9C0C19"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Суб’єкт аудиторської діяльності, який має намір брати участь у конкурсі (далі – претендент), для участі у конкурсі подає до Товариства такі документи:</w:t>
      </w:r>
    </w:p>
    <w:p w14:paraId="19890C27"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1. Копії документів, що підтверджують повноваження претендента або його представника щодо підпису та подання документів для участі у конкурсі.</w:t>
      </w:r>
    </w:p>
    <w:p w14:paraId="39A3EB51"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2. Витяг або довідку з Реєстру аудиторів та суб’єктів аудиторської діяльності із відомостями щодо </w:t>
      </w:r>
      <w:bookmarkStart w:id="10" w:name="_Hlk156470276"/>
      <w:r w:rsidRPr="003A5DE9">
        <w:rPr>
          <w:rFonts w:ascii="Times New Roman" w:hAnsi="Times New Roman" w:cs="Times New Roman"/>
          <w:sz w:val="24"/>
          <w:szCs w:val="24"/>
        </w:rPr>
        <w:t xml:space="preserve">претендента </w:t>
      </w:r>
      <w:bookmarkEnd w:id="10"/>
      <w:r w:rsidRPr="003A5DE9">
        <w:rPr>
          <w:rFonts w:ascii="Times New Roman" w:hAnsi="Times New Roman" w:cs="Times New Roman"/>
          <w:sz w:val="24"/>
          <w:szCs w:val="24"/>
        </w:rPr>
        <w:t xml:space="preserve">із зазначенням розділу цього Реєстру, до якого його включено. </w:t>
      </w:r>
    </w:p>
    <w:p w14:paraId="60875046"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3. Довідка/довідки, складену </w:t>
      </w:r>
      <w:bookmarkStart w:id="11" w:name="_Hlk156474329"/>
      <w:r w:rsidRPr="003A5DE9">
        <w:rPr>
          <w:rFonts w:ascii="Times New Roman" w:hAnsi="Times New Roman" w:cs="Times New Roman"/>
          <w:sz w:val="24"/>
          <w:szCs w:val="24"/>
        </w:rPr>
        <w:t xml:space="preserve">претендентом </w:t>
      </w:r>
      <w:bookmarkEnd w:id="11"/>
      <w:r w:rsidRPr="003A5DE9">
        <w:rPr>
          <w:rFonts w:ascii="Times New Roman" w:hAnsi="Times New Roman" w:cs="Times New Roman"/>
          <w:sz w:val="24"/>
          <w:szCs w:val="24"/>
        </w:rPr>
        <w:t>у довільній формі, яка містить відомості про:</w:t>
      </w:r>
    </w:p>
    <w:p w14:paraId="421F8311"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повне найменування, </w:t>
      </w:r>
      <w:r w:rsidRPr="003A5DE9">
        <w:rPr>
          <w:rFonts w:ascii="Times New Roman" w:eastAsia="Calibri" w:hAnsi="Times New Roman" w:cs="Times New Roman"/>
          <w:sz w:val="24"/>
          <w:szCs w:val="24"/>
          <w:lang w:eastAsia="ru-RU"/>
        </w:rPr>
        <w:t xml:space="preserve">ідентифікаційний код, </w:t>
      </w:r>
      <w:r w:rsidRPr="003A5DE9">
        <w:rPr>
          <w:rFonts w:ascii="Times New Roman" w:hAnsi="Times New Roman" w:cs="Times New Roman"/>
          <w:sz w:val="24"/>
          <w:szCs w:val="24"/>
        </w:rPr>
        <w:t xml:space="preserve">веб-сайт, поштову адресу, телефон, адресу електронної пошти, керівництво претендента; </w:t>
      </w:r>
    </w:p>
    <w:p w14:paraId="4DF403C2"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те, що </w:t>
      </w:r>
      <w:bookmarkStart w:id="12" w:name="_Hlk156479141"/>
      <w:r w:rsidRPr="003A5DE9">
        <w:rPr>
          <w:rFonts w:ascii="Times New Roman" w:hAnsi="Times New Roman" w:cs="Times New Roman"/>
          <w:sz w:val="24"/>
          <w:szCs w:val="24"/>
        </w:rPr>
        <w:t xml:space="preserve">претендент </w:t>
      </w:r>
      <w:bookmarkEnd w:id="12"/>
      <w:r w:rsidRPr="003A5DE9">
        <w:rPr>
          <w:rFonts w:ascii="Times New Roman" w:hAnsi="Times New Roman" w:cs="Times New Roman"/>
          <w:sz w:val="24"/>
          <w:szCs w:val="24"/>
        </w:rPr>
        <w:t xml:space="preserve">(учасники аудиторської мережі у випадках, передбачених законом) не надає Товариству, </w:t>
      </w:r>
      <w:r w:rsidRPr="003A5DE9">
        <w:rPr>
          <w:rFonts w:ascii="Times New Roman" w:hAnsi="Times New Roman" w:cs="Times New Roman"/>
          <w:sz w:val="24"/>
          <w:szCs w:val="24"/>
          <w:shd w:val="clear" w:color="auto" w:fill="FFFFFF"/>
        </w:rPr>
        <w:t>його материнській компанії (резиденту України) та/або дочірнім підприємствам</w:t>
      </w:r>
      <w:r w:rsidRPr="003A5DE9">
        <w:rPr>
          <w:rFonts w:ascii="Times New Roman" w:hAnsi="Times New Roman" w:cs="Times New Roman"/>
          <w:sz w:val="24"/>
          <w:szCs w:val="24"/>
        </w:rPr>
        <w:t xml:space="preserve"> послуг, надання яких обмежено статтею 27 Закону України «Про аудит фінансової звітності та аудиторську діяльність» та дотримується процедур, передбачених цією статтею, у випадку надання послуг, які обмежено згідно з її положенням;</w:t>
      </w:r>
    </w:p>
    <w:p w14:paraId="2541087D"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відсутність обмежень, пов’язаних з тривалістю надання аудиторських послуг Товариству, зазначених у статті 30 Закону України «Про аудит фінансової звітності та аудиторську діяльність»;</w:t>
      </w:r>
    </w:p>
    <w:p w14:paraId="4AEF632C"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підтвердження незалежності та об’єктивності претендента у розумінні Закону України «Про аудит фінансової звітності та аудиторську діяльність» та Міжнародних стандартів аудиту;</w:t>
      </w:r>
    </w:p>
    <w:p w14:paraId="5CBC7EED"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те, що  претендент протягом останніх трьох років не притягувався до відповідальності за порушення вимог, передбачених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торгів, аукціонів, конкурсів, тендерів; </w:t>
      </w:r>
    </w:p>
    <w:p w14:paraId="465E322C"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відсутність відомостей про претендента у Єдиному реєстрі підприємств, щодо яких порушено провадження у справі про банкрутство; </w:t>
      </w:r>
    </w:p>
    <w:p w14:paraId="26B7A74A"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відсутність у претендента заборгованості зі сплати податків і зборів (обов’язкових платежів);</w:t>
      </w:r>
    </w:p>
    <w:p w14:paraId="6E998B89"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відсутність відомостей про претендента у Єдиному державному реєстрі осіб, які вчинили корупційні або пов’язані з корупцією правопорушення;</w:t>
      </w:r>
    </w:p>
    <w:p w14:paraId="138AF5D1"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те, що до претендента не застосовано спеціальні економічні та інші обмежувальні заходи згідно із Законом України «Про санкції»; </w:t>
      </w:r>
    </w:p>
    <w:p w14:paraId="55050DE5"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те, що операції з претендентом не підпадають під мораторій (заборону), встановлений постановою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p w14:paraId="3DF2E228"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загальну чисельність штатних кваліфікованих працівників, які залучатимуться до виконання завдань з аудиту фінансової звітності, а також про прізвище, ім’я та по батькові, посади, стаж роботи зазначених працівників та інформацію про назву та реквізити </w:t>
      </w:r>
      <w:r w:rsidRPr="003A5DE9">
        <w:rPr>
          <w:rFonts w:ascii="Times New Roman" w:hAnsi="Times New Roman" w:cs="Times New Roman"/>
          <w:sz w:val="24"/>
          <w:szCs w:val="24"/>
        </w:rPr>
        <w:lastRenderedPageBreak/>
        <w:t>документів, передбачених пунктом 7 цього розділу;</w:t>
      </w:r>
    </w:p>
    <w:p w14:paraId="29DAFBD0" w14:textId="77777777"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досвід надання послуг з аудиту фінансової звітності суб’єктам господарювання нафтогазової галузі;</w:t>
      </w:r>
    </w:p>
    <w:p w14:paraId="50FB27E3" w14:textId="750083A0" w:rsidR="007E066E" w:rsidRPr="003A5DE9" w:rsidRDefault="007E066E"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те, що загальна сума винагороди, отримана від Товариства, щорічно не  перевищує 15 відсотків загальної суми чистого доходу від надання послуг претендентом впродовж п’яти років поспіль або про не встановлення договірних відносин з Товариством та відповідно не отримання винагороди впродовж п’яти років поспіль</w:t>
      </w:r>
      <w:r w:rsidR="00DA4CC3" w:rsidRPr="003A5DE9">
        <w:rPr>
          <w:rFonts w:ascii="Times New Roman" w:hAnsi="Times New Roman" w:cs="Times New Roman"/>
          <w:sz w:val="24"/>
          <w:szCs w:val="24"/>
        </w:rPr>
        <w:t>.</w:t>
      </w:r>
    </w:p>
    <w:p w14:paraId="4E361AB0" w14:textId="77777777" w:rsidR="007E066E" w:rsidRPr="003A5DE9" w:rsidRDefault="007E066E" w:rsidP="00A26D13">
      <w:pPr>
        <w:pStyle w:val="a9"/>
        <w:widowControl w:val="0"/>
        <w:numPr>
          <w:ilvl w:val="0"/>
          <w:numId w:val="5"/>
        </w:numPr>
        <w:tabs>
          <w:tab w:val="left" w:pos="851"/>
        </w:tabs>
        <w:spacing w:after="0" w:line="240" w:lineRule="auto"/>
        <w:ind w:left="0" w:firstLine="567"/>
        <w:jc w:val="both"/>
        <w:rPr>
          <w:rFonts w:ascii="Times New Roman" w:hAnsi="Times New Roman" w:cs="Times New Roman"/>
          <w:sz w:val="24"/>
          <w:szCs w:val="24"/>
          <w:shd w:val="clear" w:color="auto" w:fill="FFFFFF"/>
        </w:rPr>
      </w:pPr>
      <w:r w:rsidRPr="003A5DE9">
        <w:rPr>
          <w:rFonts w:ascii="Times New Roman" w:hAnsi="Times New Roman" w:cs="Times New Roman"/>
          <w:sz w:val="24"/>
          <w:szCs w:val="24"/>
          <w:shd w:val="clear" w:color="auto" w:fill="FFFFFF"/>
        </w:rPr>
        <w:t>Інформаційна довідка з Єдиного реєстру підприємств, щодо яких порушено провадження у справі про банкрутство з відміткою про відсутність у цьому реєстрі відомостей про претендент.</w:t>
      </w:r>
    </w:p>
    <w:p w14:paraId="0CAAA902" w14:textId="77777777" w:rsidR="007E066E" w:rsidRPr="003A5DE9" w:rsidRDefault="007E066E" w:rsidP="00A26D13">
      <w:pPr>
        <w:pStyle w:val="a9"/>
        <w:widowControl w:val="0"/>
        <w:numPr>
          <w:ilvl w:val="0"/>
          <w:numId w:val="5"/>
        </w:numPr>
        <w:tabs>
          <w:tab w:val="left" w:pos="851"/>
        </w:tabs>
        <w:spacing w:after="0" w:line="240" w:lineRule="auto"/>
        <w:ind w:left="0" w:firstLine="567"/>
        <w:jc w:val="both"/>
        <w:rPr>
          <w:rFonts w:ascii="Times New Roman" w:hAnsi="Times New Roman" w:cs="Times New Roman"/>
          <w:sz w:val="24"/>
          <w:szCs w:val="24"/>
          <w:shd w:val="clear" w:color="auto" w:fill="FFFFFF"/>
        </w:rPr>
      </w:pPr>
      <w:r w:rsidRPr="003A5DE9">
        <w:rPr>
          <w:rFonts w:ascii="Times New Roman" w:hAnsi="Times New Roman" w:cs="Times New Roman"/>
          <w:sz w:val="24"/>
          <w:szCs w:val="24"/>
          <w:shd w:val="clear" w:color="auto" w:fill="FFFFFF"/>
        </w:rPr>
        <w:t>Довідка про відсутність заборгованості з платежів,  контроль за справлянням яких покладено на контролюючі органи, видана компетентним контролюючим органом.</w:t>
      </w:r>
    </w:p>
    <w:p w14:paraId="0A2267C1" w14:textId="77777777" w:rsidR="007E066E" w:rsidRPr="003A5DE9" w:rsidRDefault="007E066E" w:rsidP="00A26D13">
      <w:pPr>
        <w:pStyle w:val="a9"/>
        <w:widowControl w:val="0"/>
        <w:numPr>
          <w:ilvl w:val="0"/>
          <w:numId w:val="5"/>
        </w:numPr>
        <w:tabs>
          <w:tab w:val="left" w:pos="851"/>
        </w:tabs>
        <w:spacing w:after="0" w:line="240" w:lineRule="auto"/>
        <w:ind w:left="0" w:firstLine="567"/>
        <w:jc w:val="both"/>
        <w:rPr>
          <w:rFonts w:ascii="Times New Roman" w:hAnsi="Times New Roman" w:cs="Times New Roman"/>
          <w:sz w:val="24"/>
          <w:szCs w:val="24"/>
          <w:shd w:val="clear" w:color="auto" w:fill="FFFFFF"/>
        </w:rPr>
      </w:pPr>
      <w:r w:rsidRPr="003A5DE9">
        <w:rPr>
          <w:rFonts w:ascii="Times New Roman" w:hAnsi="Times New Roman" w:cs="Times New Roman"/>
          <w:sz w:val="24"/>
          <w:szCs w:val="24"/>
          <w:shd w:val="clear" w:color="auto" w:fill="FFFFFF"/>
        </w:rPr>
        <w:t xml:space="preserve">Інформаційна довідка з Єдиного державного реєстру осіб, які вчинили корупційні або пов’язані з корупцією правопорушення із </w:t>
      </w:r>
      <w:r w:rsidRPr="003A5DE9">
        <w:rPr>
          <w:rFonts w:ascii="Times New Roman" w:hAnsi="Times New Roman" w:cs="Times New Roman"/>
          <w:sz w:val="24"/>
          <w:szCs w:val="24"/>
        </w:rPr>
        <w:t>відміткою про відсутність у цьому реєстрі відомостей щодо претендента.</w:t>
      </w:r>
    </w:p>
    <w:p w14:paraId="64F3092A" w14:textId="77777777" w:rsidR="007E066E" w:rsidRPr="003A5DE9" w:rsidRDefault="007E066E" w:rsidP="00A26D13">
      <w:pPr>
        <w:pStyle w:val="a9"/>
        <w:widowControl w:val="0"/>
        <w:numPr>
          <w:ilvl w:val="0"/>
          <w:numId w:val="5"/>
        </w:numPr>
        <w:tabs>
          <w:tab w:val="left" w:pos="851"/>
        </w:tabs>
        <w:spacing w:after="0" w:line="240" w:lineRule="auto"/>
        <w:ind w:left="0" w:firstLine="567"/>
        <w:jc w:val="both"/>
        <w:rPr>
          <w:rFonts w:ascii="Times New Roman" w:hAnsi="Times New Roman" w:cs="Times New Roman"/>
          <w:sz w:val="24"/>
          <w:szCs w:val="24"/>
          <w:shd w:val="clear" w:color="auto" w:fill="FFFFFF"/>
        </w:rPr>
      </w:pPr>
      <w:r w:rsidRPr="003A5DE9">
        <w:rPr>
          <w:rFonts w:ascii="Times New Roman" w:hAnsi="Times New Roman" w:cs="Times New Roman"/>
          <w:sz w:val="24"/>
          <w:szCs w:val="24"/>
        </w:rPr>
        <w:t xml:space="preserve">Копії документів, які підтверджують достатній </w:t>
      </w:r>
      <w:r w:rsidRPr="003A5DE9">
        <w:rPr>
          <w:rFonts w:ascii="Times New Roman" w:hAnsi="Times New Roman" w:cs="Times New Roman"/>
          <w:sz w:val="24"/>
          <w:szCs w:val="24"/>
          <w:shd w:val="clear" w:color="auto" w:fill="FFFFFF"/>
        </w:rPr>
        <w:t>рівень</w:t>
      </w:r>
      <w:r w:rsidRPr="003A5DE9">
        <w:rPr>
          <w:rFonts w:ascii="Times New Roman" w:hAnsi="Times New Roman" w:cs="Times New Roman"/>
          <w:sz w:val="24"/>
          <w:szCs w:val="24"/>
        </w:rPr>
        <w:t xml:space="preserve"> кваліфікації та досвіду аудиторів і персоналу, який залучатиметься до надання аудиторських послуг, зокрема копії чинних сертифікатів (дипломів) професійних організацій, що підтверджують високий рівень знань з міжнародних стандартів фінансової звітності.</w:t>
      </w:r>
    </w:p>
    <w:p w14:paraId="5AB376FC" w14:textId="77777777" w:rsidR="007E066E" w:rsidRPr="003A5DE9" w:rsidRDefault="007E066E" w:rsidP="00A26D13">
      <w:pPr>
        <w:pStyle w:val="a9"/>
        <w:widowControl w:val="0"/>
        <w:numPr>
          <w:ilvl w:val="0"/>
          <w:numId w:val="5"/>
        </w:numPr>
        <w:tabs>
          <w:tab w:val="left" w:pos="851"/>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Копії установчих документів претендента або код доступу до їх електронної версії на сайті Міністерства юстиції України.</w:t>
      </w:r>
    </w:p>
    <w:p w14:paraId="31E87C83" w14:textId="77777777" w:rsidR="007E066E" w:rsidRPr="003A5DE9" w:rsidRDefault="007E066E" w:rsidP="00A26D13">
      <w:pPr>
        <w:pStyle w:val="a9"/>
        <w:widowControl w:val="0"/>
        <w:numPr>
          <w:ilvl w:val="0"/>
          <w:numId w:val="5"/>
        </w:numPr>
        <w:tabs>
          <w:tab w:val="left" w:pos="851"/>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Витяг із реєстру платників податку на додану вартість або витяг з реєстру платників єдиного податку або інший документ, який підтверджує обрану претендентом систему оподаткування.</w:t>
      </w:r>
    </w:p>
    <w:p w14:paraId="3EFD74B2" w14:textId="77777777" w:rsidR="007E066E" w:rsidRPr="003A5DE9" w:rsidRDefault="007E066E" w:rsidP="00A26D13">
      <w:pPr>
        <w:pStyle w:val="a9"/>
        <w:widowControl w:val="0"/>
        <w:numPr>
          <w:ilvl w:val="0"/>
          <w:numId w:val="5"/>
        </w:numPr>
        <w:tabs>
          <w:tab w:val="left" w:pos="851"/>
          <w:tab w:val="left" w:pos="993"/>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Копія чинного Свідоцтва про проходження перевірки системи контролю якості, видане Аудиторською палатою України до введення в дію Закону України «</w:t>
      </w:r>
      <w:r w:rsidRPr="003A5DE9">
        <w:rPr>
          <w:rFonts w:ascii="Times New Roman" w:hAnsi="Times New Roman" w:cs="Times New Roman"/>
          <w:bCs/>
          <w:sz w:val="24"/>
          <w:szCs w:val="24"/>
          <w:shd w:val="clear" w:color="auto" w:fill="FFFFFF"/>
        </w:rPr>
        <w:t>Про аудит фінансової звітності та аудиторську діяльність»,</w:t>
      </w:r>
      <w:r w:rsidRPr="003A5DE9">
        <w:rPr>
          <w:rFonts w:ascii="Times New Roman" w:hAnsi="Times New Roman" w:cs="Times New Roman"/>
          <w:sz w:val="24"/>
          <w:szCs w:val="24"/>
        </w:rPr>
        <w:t xml:space="preserve"> або наказу Інспекції із забезпечення якості Органу суспільного нагляду за аудиторською діяльністю про проходження перевірки з контролю якості аудиторських послуг із підтвердженням виконання рекомендацій щодо виправлення виявлення недоліків та порушень у системі контролю якості (у разі їх надання).</w:t>
      </w:r>
    </w:p>
    <w:p w14:paraId="1C72B8F7" w14:textId="77777777" w:rsidR="007E066E" w:rsidRPr="003A5DE9" w:rsidRDefault="007E066E" w:rsidP="00A26D13">
      <w:pPr>
        <w:pStyle w:val="a9"/>
        <w:widowControl w:val="0"/>
        <w:numPr>
          <w:ilvl w:val="0"/>
          <w:numId w:val="5"/>
        </w:numPr>
        <w:tabs>
          <w:tab w:val="left" w:pos="851"/>
          <w:tab w:val="left" w:pos="993"/>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Копія договору страхування відповідальності суб’єкта аудиторської діяльності перед третіми особами щодо відшкодування можливих збитків у зв’язку із провадженням професійної діяльності на суму не менш як 24 млн. гривень та/або сертифікат/страховий поліс про договір страхування, який підтверджує наявність в учасника відповідного договору страхування відповідальності перед третіми особами. При цьому договір страхування повинен діяти протягом усього періоду надання аудиторських послуг (надати копію такого договору та/або сертифікату/страхового полісу).</w:t>
      </w:r>
    </w:p>
    <w:p w14:paraId="782EAF92" w14:textId="77777777" w:rsidR="007E066E" w:rsidRPr="003A5DE9" w:rsidRDefault="007E066E" w:rsidP="00A26D13">
      <w:pPr>
        <w:pStyle w:val="a9"/>
        <w:widowControl w:val="0"/>
        <w:numPr>
          <w:ilvl w:val="0"/>
          <w:numId w:val="5"/>
        </w:numPr>
        <w:tabs>
          <w:tab w:val="left" w:pos="851"/>
          <w:tab w:val="left" w:pos="993"/>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Цінова пропозиція (запропонована ціна договору на надання аудиторських послуг з обов’язкового аудиту фінансової звітності).</w:t>
      </w:r>
    </w:p>
    <w:p w14:paraId="32127E0F" w14:textId="77777777" w:rsidR="007E066E" w:rsidRPr="003A5DE9" w:rsidRDefault="007E066E" w:rsidP="00A26D13">
      <w:pPr>
        <w:pStyle w:val="a9"/>
        <w:widowControl w:val="0"/>
        <w:numPr>
          <w:ilvl w:val="0"/>
          <w:numId w:val="5"/>
        </w:numPr>
        <w:tabs>
          <w:tab w:val="left" w:pos="851"/>
          <w:tab w:val="left" w:pos="993"/>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Інші документи </w:t>
      </w:r>
      <w:r w:rsidRPr="003A5DE9">
        <w:rPr>
          <w:rFonts w:ascii="Times New Roman" w:hAnsi="Times New Roman" w:cs="Times New Roman"/>
          <w:sz w:val="24"/>
          <w:szCs w:val="24"/>
          <w:shd w:val="clear" w:color="auto" w:fill="FFFFFF"/>
        </w:rPr>
        <w:t>та інформацію, що підтверджує відповідність претендента критеріям відбору, а також вимогам законодавства (за наявності)</w:t>
      </w:r>
      <w:r w:rsidRPr="003A5DE9">
        <w:rPr>
          <w:rFonts w:ascii="Times New Roman" w:hAnsi="Times New Roman" w:cs="Times New Roman"/>
          <w:sz w:val="24"/>
          <w:szCs w:val="24"/>
        </w:rPr>
        <w:t>.</w:t>
      </w:r>
    </w:p>
    <w:p w14:paraId="6EE3E0C7" w14:textId="0A7ACF68" w:rsidR="005625AD" w:rsidRPr="003A5DE9" w:rsidRDefault="007E066E" w:rsidP="00A26D13">
      <w:pPr>
        <w:pStyle w:val="a9"/>
        <w:widowControl w:val="0"/>
        <w:tabs>
          <w:tab w:val="left" w:pos="993"/>
          <w:tab w:val="left" w:pos="1134"/>
        </w:tabs>
        <w:spacing w:after="0" w:line="240" w:lineRule="auto"/>
        <w:ind w:left="0"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Зазначені документи/копії документів подаються за підписом компетентного органу/особи або засвідчується їх відповідність оригіналу підписом уповноваженої особи претендента, скріпленим печаткою претендента (за </w:t>
      </w:r>
      <w:r w:rsidRPr="003A5DE9">
        <w:rPr>
          <w:rFonts w:ascii="Times New Roman" w:hAnsi="Times New Roman" w:cs="Times New Roman"/>
          <w:spacing w:val="-3"/>
          <w:sz w:val="24"/>
          <w:szCs w:val="24"/>
        </w:rPr>
        <w:t xml:space="preserve">її </w:t>
      </w:r>
      <w:r w:rsidRPr="003A5DE9">
        <w:rPr>
          <w:rFonts w:ascii="Times New Roman" w:hAnsi="Times New Roman" w:cs="Times New Roman"/>
          <w:sz w:val="24"/>
          <w:szCs w:val="24"/>
        </w:rPr>
        <w:t>наявності).</w:t>
      </w:r>
      <w:r w:rsidR="005625AD" w:rsidRPr="003A5DE9">
        <w:rPr>
          <w:rFonts w:ascii="Times New Roman" w:hAnsi="Times New Roman" w:cs="Times New Roman"/>
          <w:sz w:val="24"/>
          <w:szCs w:val="24"/>
        </w:rPr>
        <w:t xml:space="preserve"> </w:t>
      </w:r>
    </w:p>
    <w:p w14:paraId="42FDD870" w14:textId="77777777" w:rsidR="00787CF0" w:rsidRPr="003A5DE9" w:rsidRDefault="00787CF0" w:rsidP="00A26D13">
      <w:pPr>
        <w:widowControl w:val="0"/>
        <w:tabs>
          <w:tab w:val="left" w:pos="1134"/>
        </w:tabs>
        <w:spacing w:after="0" w:line="240" w:lineRule="auto"/>
        <w:ind w:firstLine="567"/>
        <w:jc w:val="both"/>
        <w:rPr>
          <w:rFonts w:ascii="Times New Roman" w:hAnsi="Times New Roman" w:cs="Times New Roman"/>
          <w:sz w:val="24"/>
          <w:szCs w:val="24"/>
        </w:rPr>
      </w:pPr>
    </w:p>
    <w:p w14:paraId="00F8FB48" w14:textId="35A4B035" w:rsidR="003A101C" w:rsidRPr="003A5DE9" w:rsidRDefault="003A101C" w:rsidP="00A26D13">
      <w:pPr>
        <w:widowControl w:val="0"/>
        <w:tabs>
          <w:tab w:val="left" w:pos="1134"/>
        </w:tabs>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 xml:space="preserve">Документи для участі у конкурсі подаються </w:t>
      </w:r>
      <w:r w:rsidR="00D467C9" w:rsidRPr="003A5DE9">
        <w:rPr>
          <w:rFonts w:ascii="Times New Roman" w:hAnsi="Times New Roman" w:cs="Times New Roman"/>
          <w:sz w:val="24"/>
          <w:szCs w:val="24"/>
        </w:rPr>
        <w:t>претендентами</w:t>
      </w:r>
      <w:r w:rsidRPr="003A5DE9">
        <w:rPr>
          <w:rFonts w:ascii="Times New Roman" w:hAnsi="Times New Roman" w:cs="Times New Roman"/>
          <w:sz w:val="24"/>
          <w:szCs w:val="24"/>
        </w:rPr>
        <w:t xml:space="preserve"> особисто та/або надсилаються у запечатаному конверті з відміткою «На конкурс з відбору суб’єкт</w:t>
      </w:r>
      <w:r w:rsidR="00A36280" w:rsidRPr="003A5DE9">
        <w:rPr>
          <w:rFonts w:ascii="Times New Roman" w:hAnsi="Times New Roman" w:cs="Times New Roman"/>
          <w:sz w:val="24"/>
          <w:szCs w:val="24"/>
        </w:rPr>
        <w:t>ів</w:t>
      </w:r>
      <w:r w:rsidRPr="003A5DE9">
        <w:rPr>
          <w:rFonts w:ascii="Times New Roman" w:hAnsi="Times New Roman" w:cs="Times New Roman"/>
          <w:sz w:val="24"/>
          <w:szCs w:val="24"/>
        </w:rPr>
        <w:t xml:space="preserve"> аудиторської діяльності» за адресою:</w:t>
      </w:r>
      <w:r w:rsidR="002C2D08" w:rsidRPr="003A5DE9">
        <w:rPr>
          <w:rFonts w:ascii="Times New Roman" w:hAnsi="Times New Roman" w:cs="Times New Roman"/>
          <w:sz w:val="24"/>
          <w:szCs w:val="24"/>
        </w:rPr>
        <w:t xml:space="preserve"> </w:t>
      </w:r>
      <w:r w:rsidR="0087511A" w:rsidRPr="003A5DE9">
        <w:rPr>
          <w:rFonts w:ascii="Times New Roman" w:hAnsi="Times New Roman" w:cs="Times New Roman"/>
          <w:sz w:val="24"/>
          <w:szCs w:val="24"/>
        </w:rPr>
        <w:t>43006, м.</w:t>
      </w:r>
      <w:r w:rsidR="001C196E" w:rsidRPr="003A5DE9">
        <w:rPr>
          <w:rFonts w:ascii="Times New Roman" w:hAnsi="Times New Roman" w:cs="Times New Roman"/>
          <w:sz w:val="24"/>
          <w:szCs w:val="24"/>
        </w:rPr>
        <w:t> </w:t>
      </w:r>
      <w:r w:rsidR="0087511A" w:rsidRPr="003A5DE9">
        <w:rPr>
          <w:rFonts w:ascii="Times New Roman" w:hAnsi="Times New Roman" w:cs="Times New Roman"/>
          <w:sz w:val="24"/>
          <w:szCs w:val="24"/>
        </w:rPr>
        <w:t>Луцьк, вул. І.Франка, 12</w:t>
      </w:r>
      <w:r w:rsidRPr="003A5DE9">
        <w:rPr>
          <w:rFonts w:ascii="Times New Roman" w:hAnsi="Times New Roman" w:cs="Times New Roman"/>
          <w:sz w:val="24"/>
          <w:szCs w:val="24"/>
        </w:rPr>
        <w:t>.</w:t>
      </w:r>
    </w:p>
    <w:p w14:paraId="5CB576BC" w14:textId="77777777" w:rsidR="003A101C" w:rsidRPr="003A5DE9" w:rsidRDefault="003A101C" w:rsidP="00A26D13">
      <w:pPr>
        <w:widowControl w:val="0"/>
        <w:tabs>
          <w:tab w:val="left" w:pos="1134"/>
        </w:tabs>
        <w:spacing w:after="0" w:line="240" w:lineRule="auto"/>
        <w:ind w:firstLine="567"/>
        <w:jc w:val="both"/>
        <w:rPr>
          <w:rFonts w:ascii="Times New Roman" w:hAnsi="Times New Roman" w:cs="Times New Roman"/>
          <w:sz w:val="24"/>
          <w:szCs w:val="24"/>
        </w:rPr>
      </w:pPr>
    </w:p>
    <w:p w14:paraId="0FC95C49" w14:textId="7C127224" w:rsidR="00080816" w:rsidRPr="003A5DE9" w:rsidRDefault="005E2737" w:rsidP="00A26D13">
      <w:pPr>
        <w:widowControl w:val="0"/>
        <w:spacing w:after="0" w:line="240" w:lineRule="auto"/>
        <w:ind w:firstLine="567"/>
        <w:jc w:val="both"/>
        <w:rPr>
          <w:rFonts w:ascii="Times New Roman" w:hAnsi="Times New Roman" w:cs="Times New Roman"/>
          <w:sz w:val="24"/>
          <w:szCs w:val="24"/>
        </w:rPr>
      </w:pPr>
      <w:r w:rsidRPr="003A5DE9">
        <w:rPr>
          <w:rFonts w:ascii="Times New Roman" w:hAnsi="Times New Roman" w:cs="Times New Roman"/>
          <w:sz w:val="24"/>
          <w:szCs w:val="24"/>
        </w:rPr>
        <w:t>Для отримання іншої додаткової інформації та/або документації, яка розкриває інформацію про діяльність Товариства, просимо надсилати листи на адресу електронної пошти контактної особи</w:t>
      </w:r>
      <w:r w:rsidR="00345393" w:rsidRPr="003A5DE9">
        <w:rPr>
          <w:rFonts w:ascii="Times New Roman" w:hAnsi="Times New Roman" w:cs="Times New Roman"/>
          <w:sz w:val="24"/>
          <w:szCs w:val="24"/>
        </w:rPr>
        <w:t>.</w:t>
      </w:r>
    </w:p>
    <w:sectPr w:rsidR="00080816" w:rsidRPr="003A5DE9" w:rsidSect="00AB5848">
      <w:headerReference w:type="default" r:id="rId7"/>
      <w:pgSz w:w="11906" w:h="16838" w:code="9"/>
      <w:pgMar w:top="1021" w:right="1021" w:bottom="1021" w:left="158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EBE2" w14:textId="77777777" w:rsidR="00C010BF" w:rsidRDefault="00C010BF" w:rsidP="00A36280">
      <w:pPr>
        <w:spacing w:after="0" w:line="240" w:lineRule="auto"/>
      </w:pPr>
      <w:r>
        <w:separator/>
      </w:r>
    </w:p>
  </w:endnote>
  <w:endnote w:type="continuationSeparator" w:id="0">
    <w:p w14:paraId="219B35A6" w14:textId="77777777" w:rsidR="00C010BF" w:rsidRDefault="00C010BF" w:rsidP="00A3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0708" w14:textId="77777777" w:rsidR="00C010BF" w:rsidRDefault="00C010BF" w:rsidP="00A36280">
      <w:pPr>
        <w:spacing w:after="0" w:line="240" w:lineRule="auto"/>
      </w:pPr>
      <w:r>
        <w:separator/>
      </w:r>
    </w:p>
  </w:footnote>
  <w:footnote w:type="continuationSeparator" w:id="0">
    <w:p w14:paraId="1A7DF3E5" w14:textId="77777777" w:rsidR="00C010BF" w:rsidRDefault="00C010BF" w:rsidP="00A36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650320"/>
      <w:docPartObj>
        <w:docPartGallery w:val="Page Numbers (Top of Page)"/>
        <w:docPartUnique/>
      </w:docPartObj>
    </w:sdtPr>
    <w:sdtEndPr/>
    <w:sdtContent>
      <w:p w14:paraId="75832C43" w14:textId="0F377B38" w:rsidR="00A36280" w:rsidRDefault="00A36280" w:rsidP="003A5DE9">
        <w:pPr>
          <w:pStyle w:val="af3"/>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26D"/>
    <w:multiLevelType w:val="hybridMultilevel"/>
    <w:tmpl w:val="5C8CEE36"/>
    <w:lvl w:ilvl="0" w:tplc="355C6156">
      <w:start w:val="1"/>
      <w:numFmt w:val="bullet"/>
      <w:lvlText w:val=""/>
      <w:lvlJc w:val="left"/>
      <w:pPr>
        <w:ind w:left="720" w:hanging="360"/>
      </w:pPr>
      <w:rPr>
        <w:rFonts w:ascii="Symbol" w:hAnsi="Symbol"/>
      </w:rPr>
    </w:lvl>
    <w:lvl w:ilvl="1" w:tplc="AB7AD84A">
      <w:start w:val="1"/>
      <w:numFmt w:val="bullet"/>
      <w:lvlText w:val=""/>
      <w:lvlJc w:val="left"/>
      <w:pPr>
        <w:ind w:left="720" w:hanging="360"/>
      </w:pPr>
      <w:rPr>
        <w:rFonts w:ascii="Symbol" w:hAnsi="Symbol"/>
      </w:rPr>
    </w:lvl>
    <w:lvl w:ilvl="2" w:tplc="1122A3BC">
      <w:start w:val="1"/>
      <w:numFmt w:val="bullet"/>
      <w:lvlText w:val=""/>
      <w:lvlJc w:val="left"/>
      <w:pPr>
        <w:ind w:left="720" w:hanging="360"/>
      </w:pPr>
      <w:rPr>
        <w:rFonts w:ascii="Symbol" w:hAnsi="Symbol"/>
      </w:rPr>
    </w:lvl>
    <w:lvl w:ilvl="3" w:tplc="EA66D260">
      <w:start w:val="1"/>
      <w:numFmt w:val="bullet"/>
      <w:lvlText w:val=""/>
      <w:lvlJc w:val="left"/>
      <w:pPr>
        <w:ind w:left="720" w:hanging="360"/>
      </w:pPr>
      <w:rPr>
        <w:rFonts w:ascii="Symbol" w:hAnsi="Symbol"/>
      </w:rPr>
    </w:lvl>
    <w:lvl w:ilvl="4" w:tplc="6C64D40A">
      <w:start w:val="1"/>
      <w:numFmt w:val="bullet"/>
      <w:lvlText w:val=""/>
      <w:lvlJc w:val="left"/>
      <w:pPr>
        <w:ind w:left="720" w:hanging="360"/>
      </w:pPr>
      <w:rPr>
        <w:rFonts w:ascii="Symbol" w:hAnsi="Symbol"/>
      </w:rPr>
    </w:lvl>
    <w:lvl w:ilvl="5" w:tplc="304A0BAE">
      <w:start w:val="1"/>
      <w:numFmt w:val="bullet"/>
      <w:lvlText w:val=""/>
      <w:lvlJc w:val="left"/>
      <w:pPr>
        <w:ind w:left="720" w:hanging="360"/>
      </w:pPr>
      <w:rPr>
        <w:rFonts w:ascii="Symbol" w:hAnsi="Symbol"/>
      </w:rPr>
    </w:lvl>
    <w:lvl w:ilvl="6" w:tplc="6434ADF2">
      <w:start w:val="1"/>
      <w:numFmt w:val="bullet"/>
      <w:lvlText w:val=""/>
      <w:lvlJc w:val="left"/>
      <w:pPr>
        <w:ind w:left="720" w:hanging="360"/>
      </w:pPr>
      <w:rPr>
        <w:rFonts w:ascii="Symbol" w:hAnsi="Symbol"/>
      </w:rPr>
    </w:lvl>
    <w:lvl w:ilvl="7" w:tplc="A4365326">
      <w:start w:val="1"/>
      <w:numFmt w:val="bullet"/>
      <w:lvlText w:val=""/>
      <w:lvlJc w:val="left"/>
      <w:pPr>
        <w:ind w:left="720" w:hanging="360"/>
      </w:pPr>
      <w:rPr>
        <w:rFonts w:ascii="Symbol" w:hAnsi="Symbol"/>
      </w:rPr>
    </w:lvl>
    <w:lvl w:ilvl="8" w:tplc="4BA6AD46">
      <w:start w:val="1"/>
      <w:numFmt w:val="bullet"/>
      <w:lvlText w:val=""/>
      <w:lvlJc w:val="left"/>
      <w:pPr>
        <w:ind w:left="720" w:hanging="360"/>
      </w:pPr>
      <w:rPr>
        <w:rFonts w:ascii="Symbol" w:hAnsi="Symbol"/>
      </w:rPr>
    </w:lvl>
  </w:abstractNum>
  <w:abstractNum w:abstractNumId="1" w15:restartNumberingAfterBreak="0">
    <w:nsid w:val="196C09EA"/>
    <w:multiLevelType w:val="hybridMultilevel"/>
    <w:tmpl w:val="EB9EA9A8"/>
    <w:lvl w:ilvl="0" w:tplc="E4984A90">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6153781"/>
    <w:multiLevelType w:val="hybridMultilevel"/>
    <w:tmpl w:val="05E4602C"/>
    <w:lvl w:ilvl="0" w:tplc="D464A66A">
      <w:start w:val="1"/>
      <w:numFmt w:val="bullet"/>
      <w:lvlText w:val=""/>
      <w:lvlJc w:val="left"/>
      <w:pPr>
        <w:ind w:left="720" w:hanging="360"/>
      </w:pPr>
      <w:rPr>
        <w:rFonts w:ascii="Symbol" w:hAnsi="Symbol"/>
      </w:rPr>
    </w:lvl>
    <w:lvl w:ilvl="1" w:tplc="E3888BFE">
      <w:start w:val="1"/>
      <w:numFmt w:val="bullet"/>
      <w:lvlText w:val=""/>
      <w:lvlJc w:val="left"/>
      <w:pPr>
        <w:ind w:left="720" w:hanging="360"/>
      </w:pPr>
      <w:rPr>
        <w:rFonts w:ascii="Symbol" w:hAnsi="Symbol"/>
      </w:rPr>
    </w:lvl>
    <w:lvl w:ilvl="2" w:tplc="12140850">
      <w:start w:val="1"/>
      <w:numFmt w:val="bullet"/>
      <w:lvlText w:val=""/>
      <w:lvlJc w:val="left"/>
      <w:pPr>
        <w:ind w:left="720" w:hanging="360"/>
      </w:pPr>
      <w:rPr>
        <w:rFonts w:ascii="Symbol" w:hAnsi="Symbol"/>
      </w:rPr>
    </w:lvl>
    <w:lvl w:ilvl="3" w:tplc="4D041520">
      <w:start w:val="1"/>
      <w:numFmt w:val="bullet"/>
      <w:lvlText w:val=""/>
      <w:lvlJc w:val="left"/>
      <w:pPr>
        <w:ind w:left="720" w:hanging="360"/>
      </w:pPr>
      <w:rPr>
        <w:rFonts w:ascii="Symbol" w:hAnsi="Symbol"/>
      </w:rPr>
    </w:lvl>
    <w:lvl w:ilvl="4" w:tplc="CE02A828">
      <w:start w:val="1"/>
      <w:numFmt w:val="bullet"/>
      <w:lvlText w:val=""/>
      <w:lvlJc w:val="left"/>
      <w:pPr>
        <w:ind w:left="720" w:hanging="360"/>
      </w:pPr>
      <w:rPr>
        <w:rFonts w:ascii="Symbol" w:hAnsi="Symbol"/>
      </w:rPr>
    </w:lvl>
    <w:lvl w:ilvl="5" w:tplc="7B18D062">
      <w:start w:val="1"/>
      <w:numFmt w:val="bullet"/>
      <w:lvlText w:val=""/>
      <w:lvlJc w:val="left"/>
      <w:pPr>
        <w:ind w:left="720" w:hanging="360"/>
      </w:pPr>
      <w:rPr>
        <w:rFonts w:ascii="Symbol" w:hAnsi="Symbol"/>
      </w:rPr>
    </w:lvl>
    <w:lvl w:ilvl="6" w:tplc="CFAEFA86">
      <w:start w:val="1"/>
      <w:numFmt w:val="bullet"/>
      <w:lvlText w:val=""/>
      <w:lvlJc w:val="left"/>
      <w:pPr>
        <w:ind w:left="720" w:hanging="360"/>
      </w:pPr>
      <w:rPr>
        <w:rFonts w:ascii="Symbol" w:hAnsi="Symbol"/>
      </w:rPr>
    </w:lvl>
    <w:lvl w:ilvl="7" w:tplc="68642720">
      <w:start w:val="1"/>
      <w:numFmt w:val="bullet"/>
      <w:lvlText w:val=""/>
      <w:lvlJc w:val="left"/>
      <w:pPr>
        <w:ind w:left="720" w:hanging="360"/>
      </w:pPr>
      <w:rPr>
        <w:rFonts w:ascii="Symbol" w:hAnsi="Symbol"/>
      </w:rPr>
    </w:lvl>
    <w:lvl w:ilvl="8" w:tplc="6082CD10">
      <w:start w:val="1"/>
      <w:numFmt w:val="bullet"/>
      <w:lvlText w:val=""/>
      <w:lvlJc w:val="left"/>
      <w:pPr>
        <w:ind w:left="720" w:hanging="360"/>
      </w:pPr>
      <w:rPr>
        <w:rFonts w:ascii="Symbol" w:hAnsi="Symbol"/>
      </w:rPr>
    </w:lvl>
  </w:abstractNum>
  <w:abstractNum w:abstractNumId="3" w15:restartNumberingAfterBreak="0">
    <w:nsid w:val="5BAD48C9"/>
    <w:multiLevelType w:val="hybridMultilevel"/>
    <w:tmpl w:val="3A2C10D0"/>
    <w:lvl w:ilvl="0" w:tplc="3BB030D2">
      <w:numFmt w:val="bullet"/>
      <w:lvlText w:val="-"/>
      <w:lvlJc w:val="left"/>
      <w:pPr>
        <w:ind w:left="518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21C6B63"/>
    <w:multiLevelType w:val="hybridMultilevel"/>
    <w:tmpl w:val="F168CE22"/>
    <w:lvl w:ilvl="0" w:tplc="71CE52AE">
      <w:start w:val="1"/>
      <w:numFmt w:val="bullet"/>
      <w:lvlText w:val=""/>
      <w:lvlJc w:val="left"/>
      <w:pPr>
        <w:ind w:left="720" w:hanging="360"/>
      </w:pPr>
      <w:rPr>
        <w:rFonts w:ascii="Symbol" w:hAnsi="Symbol"/>
      </w:rPr>
    </w:lvl>
    <w:lvl w:ilvl="1" w:tplc="34D09254">
      <w:start w:val="1"/>
      <w:numFmt w:val="bullet"/>
      <w:lvlText w:val=""/>
      <w:lvlJc w:val="left"/>
      <w:pPr>
        <w:ind w:left="720" w:hanging="360"/>
      </w:pPr>
      <w:rPr>
        <w:rFonts w:ascii="Symbol" w:hAnsi="Symbol"/>
      </w:rPr>
    </w:lvl>
    <w:lvl w:ilvl="2" w:tplc="4F143BAC">
      <w:start w:val="1"/>
      <w:numFmt w:val="bullet"/>
      <w:lvlText w:val=""/>
      <w:lvlJc w:val="left"/>
      <w:pPr>
        <w:ind w:left="720" w:hanging="360"/>
      </w:pPr>
      <w:rPr>
        <w:rFonts w:ascii="Symbol" w:hAnsi="Symbol"/>
      </w:rPr>
    </w:lvl>
    <w:lvl w:ilvl="3" w:tplc="C146454E">
      <w:start w:val="1"/>
      <w:numFmt w:val="bullet"/>
      <w:lvlText w:val=""/>
      <w:lvlJc w:val="left"/>
      <w:pPr>
        <w:ind w:left="720" w:hanging="360"/>
      </w:pPr>
      <w:rPr>
        <w:rFonts w:ascii="Symbol" w:hAnsi="Symbol"/>
      </w:rPr>
    </w:lvl>
    <w:lvl w:ilvl="4" w:tplc="1F484DF6">
      <w:start w:val="1"/>
      <w:numFmt w:val="bullet"/>
      <w:lvlText w:val=""/>
      <w:lvlJc w:val="left"/>
      <w:pPr>
        <w:ind w:left="720" w:hanging="360"/>
      </w:pPr>
      <w:rPr>
        <w:rFonts w:ascii="Symbol" w:hAnsi="Symbol"/>
      </w:rPr>
    </w:lvl>
    <w:lvl w:ilvl="5" w:tplc="49862FBC">
      <w:start w:val="1"/>
      <w:numFmt w:val="bullet"/>
      <w:lvlText w:val=""/>
      <w:lvlJc w:val="left"/>
      <w:pPr>
        <w:ind w:left="720" w:hanging="360"/>
      </w:pPr>
      <w:rPr>
        <w:rFonts w:ascii="Symbol" w:hAnsi="Symbol"/>
      </w:rPr>
    </w:lvl>
    <w:lvl w:ilvl="6" w:tplc="9FA88EAC">
      <w:start w:val="1"/>
      <w:numFmt w:val="bullet"/>
      <w:lvlText w:val=""/>
      <w:lvlJc w:val="left"/>
      <w:pPr>
        <w:ind w:left="720" w:hanging="360"/>
      </w:pPr>
      <w:rPr>
        <w:rFonts w:ascii="Symbol" w:hAnsi="Symbol"/>
      </w:rPr>
    </w:lvl>
    <w:lvl w:ilvl="7" w:tplc="D3FAD822">
      <w:start w:val="1"/>
      <w:numFmt w:val="bullet"/>
      <w:lvlText w:val=""/>
      <w:lvlJc w:val="left"/>
      <w:pPr>
        <w:ind w:left="720" w:hanging="360"/>
      </w:pPr>
      <w:rPr>
        <w:rFonts w:ascii="Symbol" w:hAnsi="Symbol"/>
      </w:rPr>
    </w:lvl>
    <w:lvl w:ilvl="8" w:tplc="2ACACDBE">
      <w:start w:val="1"/>
      <w:numFmt w:val="bullet"/>
      <w:lvlText w:val=""/>
      <w:lvlJc w:val="left"/>
      <w:pPr>
        <w:ind w:left="720" w:hanging="360"/>
      </w:pPr>
      <w:rPr>
        <w:rFonts w:ascii="Symbol" w:hAnsi="Symbol"/>
      </w:rPr>
    </w:lvl>
  </w:abstractNum>
  <w:abstractNum w:abstractNumId="5" w15:restartNumberingAfterBreak="0">
    <w:nsid w:val="78EA6CF7"/>
    <w:multiLevelType w:val="hybridMultilevel"/>
    <w:tmpl w:val="961E670A"/>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6544866">
    <w:abstractNumId w:val="3"/>
  </w:num>
  <w:num w:numId="2" w16cid:durableId="1299725128">
    <w:abstractNumId w:val="2"/>
  </w:num>
  <w:num w:numId="3" w16cid:durableId="1166437014">
    <w:abstractNumId w:val="4"/>
  </w:num>
  <w:num w:numId="4" w16cid:durableId="1676033725">
    <w:abstractNumId w:val="0"/>
  </w:num>
  <w:num w:numId="5" w16cid:durableId="1311595869">
    <w:abstractNumId w:val="1"/>
  </w:num>
  <w:num w:numId="6" w16cid:durableId="1157377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16"/>
    <w:rsid w:val="00012F5E"/>
    <w:rsid w:val="0002400A"/>
    <w:rsid w:val="00026CE5"/>
    <w:rsid w:val="0004144A"/>
    <w:rsid w:val="0004381A"/>
    <w:rsid w:val="00067DFC"/>
    <w:rsid w:val="00080816"/>
    <w:rsid w:val="000909F0"/>
    <w:rsid w:val="000D1DF9"/>
    <w:rsid w:val="000E07DF"/>
    <w:rsid w:val="000F6E50"/>
    <w:rsid w:val="00104318"/>
    <w:rsid w:val="00112AF6"/>
    <w:rsid w:val="00125796"/>
    <w:rsid w:val="00131A36"/>
    <w:rsid w:val="001347F9"/>
    <w:rsid w:val="00141710"/>
    <w:rsid w:val="0015353E"/>
    <w:rsid w:val="00185EA3"/>
    <w:rsid w:val="001A35CE"/>
    <w:rsid w:val="001C196E"/>
    <w:rsid w:val="001F4ABD"/>
    <w:rsid w:val="00233EBA"/>
    <w:rsid w:val="00244878"/>
    <w:rsid w:val="00277B2B"/>
    <w:rsid w:val="00281335"/>
    <w:rsid w:val="0028762D"/>
    <w:rsid w:val="002A4BD3"/>
    <w:rsid w:val="002C2D08"/>
    <w:rsid w:val="002C3555"/>
    <w:rsid w:val="002D3823"/>
    <w:rsid w:val="002E37DE"/>
    <w:rsid w:val="00325C78"/>
    <w:rsid w:val="00345393"/>
    <w:rsid w:val="00360EC8"/>
    <w:rsid w:val="003A101C"/>
    <w:rsid w:val="003A5DE9"/>
    <w:rsid w:val="003A73A0"/>
    <w:rsid w:val="003D6E0E"/>
    <w:rsid w:val="003E0E5C"/>
    <w:rsid w:val="003E675E"/>
    <w:rsid w:val="003F7BDE"/>
    <w:rsid w:val="00407B27"/>
    <w:rsid w:val="00413F93"/>
    <w:rsid w:val="00426974"/>
    <w:rsid w:val="004424F0"/>
    <w:rsid w:val="00504AAD"/>
    <w:rsid w:val="00525E38"/>
    <w:rsid w:val="005272FD"/>
    <w:rsid w:val="00532AC2"/>
    <w:rsid w:val="005509F1"/>
    <w:rsid w:val="005625AD"/>
    <w:rsid w:val="00583AF8"/>
    <w:rsid w:val="00587790"/>
    <w:rsid w:val="00592CA1"/>
    <w:rsid w:val="005B30D2"/>
    <w:rsid w:val="005D3C62"/>
    <w:rsid w:val="005D5F21"/>
    <w:rsid w:val="005E2737"/>
    <w:rsid w:val="005F6041"/>
    <w:rsid w:val="0060103C"/>
    <w:rsid w:val="0062327A"/>
    <w:rsid w:val="00653051"/>
    <w:rsid w:val="00657ADF"/>
    <w:rsid w:val="00666FDA"/>
    <w:rsid w:val="00681DA9"/>
    <w:rsid w:val="006F13D5"/>
    <w:rsid w:val="006F37C7"/>
    <w:rsid w:val="007331F8"/>
    <w:rsid w:val="00745428"/>
    <w:rsid w:val="00745EE5"/>
    <w:rsid w:val="00751B07"/>
    <w:rsid w:val="0077444B"/>
    <w:rsid w:val="00787CF0"/>
    <w:rsid w:val="007A3C04"/>
    <w:rsid w:val="007E066E"/>
    <w:rsid w:val="0080091C"/>
    <w:rsid w:val="00807474"/>
    <w:rsid w:val="008224A7"/>
    <w:rsid w:val="00864A57"/>
    <w:rsid w:val="008715BB"/>
    <w:rsid w:val="00872867"/>
    <w:rsid w:val="0087511A"/>
    <w:rsid w:val="0087517A"/>
    <w:rsid w:val="00894452"/>
    <w:rsid w:val="00896A60"/>
    <w:rsid w:val="008C6764"/>
    <w:rsid w:val="008D2438"/>
    <w:rsid w:val="008E49D4"/>
    <w:rsid w:val="009002E4"/>
    <w:rsid w:val="0096275C"/>
    <w:rsid w:val="00962991"/>
    <w:rsid w:val="009967ED"/>
    <w:rsid w:val="009A46B6"/>
    <w:rsid w:val="009B5182"/>
    <w:rsid w:val="009C0028"/>
    <w:rsid w:val="009C6DE2"/>
    <w:rsid w:val="00A26D13"/>
    <w:rsid w:val="00A36280"/>
    <w:rsid w:val="00A65A42"/>
    <w:rsid w:val="00A86A69"/>
    <w:rsid w:val="00A95202"/>
    <w:rsid w:val="00AA5489"/>
    <w:rsid w:val="00AB5848"/>
    <w:rsid w:val="00AC6F77"/>
    <w:rsid w:val="00AE3496"/>
    <w:rsid w:val="00B3100D"/>
    <w:rsid w:val="00B5293E"/>
    <w:rsid w:val="00B63833"/>
    <w:rsid w:val="00B83629"/>
    <w:rsid w:val="00B94B63"/>
    <w:rsid w:val="00BA1304"/>
    <w:rsid w:val="00BA4BB8"/>
    <w:rsid w:val="00BD1F04"/>
    <w:rsid w:val="00C010BF"/>
    <w:rsid w:val="00C31538"/>
    <w:rsid w:val="00C330AE"/>
    <w:rsid w:val="00C36DB9"/>
    <w:rsid w:val="00C479AD"/>
    <w:rsid w:val="00C667F2"/>
    <w:rsid w:val="00C9128C"/>
    <w:rsid w:val="00CC4DCA"/>
    <w:rsid w:val="00CE1EA7"/>
    <w:rsid w:val="00CF13CE"/>
    <w:rsid w:val="00CF49E3"/>
    <w:rsid w:val="00D316D5"/>
    <w:rsid w:val="00D467C9"/>
    <w:rsid w:val="00D50F2D"/>
    <w:rsid w:val="00D66A33"/>
    <w:rsid w:val="00D95DD0"/>
    <w:rsid w:val="00D9685E"/>
    <w:rsid w:val="00DA4CC3"/>
    <w:rsid w:val="00E0710E"/>
    <w:rsid w:val="00E10C57"/>
    <w:rsid w:val="00E764BA"/>
    <w:rsid w:val="00EA484E"/>
    <w:rsid w:val="00EB562B"/>
    <w:rsid w:val="00EC5383"/>
    <w:rsid w:val="00EE6405"/>
    <w:rsid w:val="00EF0337"/>
    <w:rsid w:val="00EF0BB9"/>
    <w:rsid w:val="00F237AA"/>
    <w:rsid w:val="00F56C92"/>
    <w:rsid w:val="00F62237"/>
    <w:rsid w:val="00F63445"/>
    <w:rsid w:val="00FC7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8C18"/>
  <w15:chartTrackingRefBased/>
  <w15:docId w15:val="{F5243168-75C7-4BCF-BB7E-A4829804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0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80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808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808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808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808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08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08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08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8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808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808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808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808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808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0816"/>
    <w:rPr>
      <w:rFonts w:eastAsiaTheme="majorEastAsia" w:cstheme="majorBidi"/>
      <w:color w:val="595959" w:themeColor="text1" w:themeTint="A6"/>
    </w:rPr>
  </w:style>
  <w:style w:type="character" w:customStyle="1" w:styleId="80">
    <w:name w:val="Заголовок 8 Знак"/>
    <w:basedOn w:val="a0"/>
    <w:link w:val="8"/>
    <w:uiPriority w:val="9"/>
    <w:semiHidden/>
    <w:rsid w:val="000808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0816"/>
    <w:rPr>
      <w:rFonts w:eastAsiaTheme="majorEastAsia" w:cstheme="majorBidi"/>
      <w:color w:val="272727" w:themeColor="text1" w:themeTint="D8"/>
    </w:rPr>
  </w:style>
  <w:style w:type="paragraph" w:styleId="a3">
    <w:name w:val="Title"/>
    <w:basedOn w:val="a"/>
    <w:next w:val="a"/>
    <w:link w:val="a4"/>
    <w:uiPriority w:val="10"/>
    <w:qFormat/>
    <w:rsid w:val="00080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80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81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8081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80816"/>
    <w:pPr>
      <w:spacing w:before="160"/>
      <w:jc w:val="center"/>
    </w:pPr>
    <w:rPr>
      <w:i/>
      <w:iCs/>
      <w:color w:val="404040" w:themeColor="text1" w:themeTint="BF"/>
    </w:rPr>
  </w:style>
  <w:style w:type="character" w:customStyle="1" w:styleId="a8">
    <w:name w:val="Цитата Знак"/>
    <w:basedOn w:val="a0"/>
    <w:link w:val="a7"/>
    <w:uiPriority w:val="29"/>
    <w:rsid w:val="00080816"/>
    <w:rPr>
      <w:i/>
      <w:iCs/>
      <w:color w:val="404040" w:themeColor="text1" w:themeTint="BF"/>
    </w:rPr>
  </w:style>
  <w:style w:type="paragraph" w:styleId="a9">
    <w:name w:val="List Paragraph"/>
    <w:basedOn w:val="a"/>
    <w:uiPriority w:val="34"/>
    <w:qFormat/>
    <w:rsid w:val="00080816"/>
    <w:pPr>
      <w:ind w:left="720"/>
      <w:contextualSpacing/>
    </w:pPr>
  </w:style>
  <w:style w:type="character" w:styleId="aa">
    <w:name w:val="Intense Emphasis"/>
    <w:basedOn w:val="a0"/>
    <w:uiPriority w:val="21"/>
    <w:qFormat/>
    <w:rsid w:val="00080816"/>
    <w:rPr>
      <w:i/>
      <w:iCs/>
      <w:color w:val="2F5496" w:themeColor="accent1" w:themeShade="BF"/>
    </w:rPr>
  </w:style>
  <w:style w:type="paragraph" w:styleId="ab">
    <w:name w:val="Intense Quote"/>
    <w:basedOn w:val="a"/>
    <w:next w:val="a"/>
    <w:link w:val="ac"/>
    <w:uiPriority w:val="30"/>
    <w:qFormat/>
    <w:rsid w:val="00080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80816"/>
    <w:rPr>
      <w:i/>
      <w:iCs/>
      <w:color w:val="2F5496" w:themeColor="accent1" w:themeShade="BF"/>
    </w:rPr>
  </w:style>
  <w:style w:type="character" w:styleId="ad">
    <w:name w:val="Intense Reference"/>
    <w:basedOn w:val="a0"/>
    <w:uiPriority w:val="32"/>
    <w:qFormat/>
    <w:rsid w:val="00080816"/>
    <w:rPr>
      <w:b/>
      <w:bCs/>
      <w:smallCaps/>
      <w:color w:val="2F5496" w:themeColor="accent1" w:themeShade="BF"/>
      <w:spacing w:val="5"/>
    </w:rPr>
  </w:style>
  <w:style w:type="paragraph" w:customStyle="1" w:styleId="xfmc1">
    <w:name w:val="xfmc1"/>
    <w:basedOn w:val="a"/>
    <w:rsid w:val="007331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annotation reference"/>
    <w:basedOn w:val="a0"/>
    <w:uiPriority w:val="99"/>
    <w:semiHidden/>
    <w:unhideWhenUsed/>
    <w:rsid w:val="00233EBA"/>
    <w:rPr>
      <w:sz w:val="16"/>
      <w:szCs w:val="16"/>
    </w:rPr>
  </w:style>
  <w:style w:type="paragraph" w:styleId="af">
    <w:name w:val="annotation text"/>
    <w:basedOn w:val="a"/>
    <w:link w:val="af0"/>
    <w:uiPriority w:val="99"/>
    <w:unhideWhenUsed/>
    <w:rsid w:val="00233EBA"/>
    <w:pPr>
      <w:spacing w:line="240" w:lineRule="auto"/>
    </w:pPr>
    <w:rPr>
      <w:sz w:val="20"/>
      <w:szCs w:val="20"/>
    </w:rPr>
  </w:style>
  <w:style w:type="character" w:customStyle="1" w:styleId="af0">
    <w:name w:val="Текст примітки Знак"/>
    <w:basedOn w:val="a0"/>
    <w:link w:val="af"/>
    <w:uiPriority w:val="99"/>
    <w:rsid w:val="00233EBA"/>
    <w:rPr>
      <w:sz w:val="20"/>
      <w:szCs w:val="20"/>
    </w:rPr>
  </w:style>
  <w:style w:type="paragraph" w:styleId="af1">
    <w:name w:val="annotation subject"/>
    <w:basedOn w:val="af"/>
    <w:next w:val="af"/>
    <w:link w:val="af2"/>
    <w:uiPriority w:val="99"/>
    <w:semiHidden/>
    <w:unhideWhenUsed/>
    <w:rsid w:val="00233EBA"/>
    <w:rPr>
      <w:b/>
      <w:bCs/>
    </w:rPr>
  </w:style>
  <w:style w:type="character" w:customStyle="1" w:styleId="af2">
    <w:name w:val="Тема примітки Знак"/>
    <w:basedOn w:val="af0"/>
    <w:link w:val="af1"/>
    <w:uiPriority w:val="99"/>
    <w:semiHidden/>
    <w:rsid w:val="00233EBA"/>
    <w:rPr>
      <w:b/>
      <w:bCs/>
      <w:sz w:val="20"/>
      <w:szCs w:val="20"/>
    </w:rPr>
  </w:style>
  <w:style w:type="paragraph" w:styleId="af3">
    <w:name w:val="header"/>
    <w:basedOn w:val="a"/>
    <w:link w:val="af4"/>
    <w:uiPriority w:val="99"/>
    <w:unhideWhenUsed/>
    <w:rsid w:val="00A36280"/>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A36280"/>
  </w:style>
  <w:style w:type="paragraph" w:styleId="af5">
    <w:name w:val="footer"/>
    <w:basedOn w:val="a"/>
    <w:link w:val="af6"/>
    <w:uiPriority w:val="99"/>
    <w:unhideWhenUsed/>
    <w:rsid w:val="00A36280"/>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A36280"/>
  </w:style>
  <w:style w:type="paragraph" w:styleId="af7">
    <w:name w:val="Revision"/>
    <w:hidden/>
    <w:uiPriority w:val="99"/>
    <w:semiHidden/>
    <w:rsid w:val="00A95202"/>
    <w:pPr>
      <w:spacing w:after="0" w:line="240" w:lineRule="auto"/>
    </w:pPr>
  </w:style>
  <w:style w:type="character" w:styleId="af8">
    <w:name w:val="Hyperlink"/>
    <w:basedOn w:val="a0"/>
    <w:uiPriority w:val="99"/>
    <w:unhideWhenUsed/>
    <w:rsid w:val="003D6E0E"/>
    <w:rPr>
      <w:color w:val="0563C1" w:themeColor="hyperlink"/>
      <w:u w:val="single"/>
    </w:rPr>
  </w:style>
  <w:style w:type="character" w:styleId="af9">
    <w:name w:val="Unresolved Mention"/>
    <w:basedOn w:val="a0"/>
    <w:uiPriority w:val="99"/>
    <w:semiHidden/>
    <w:unhideWhenUsed/>
    <w:rsid w:val="003D6E0E"/>
    <w:rPr>
      <w:color w:val="605E5C"/>
      <w:shd w:val="clear" w:color="auto" w:fill="E1DFDD"/>
    </w:rPr>
  </w:style>
  <w:style w:type="character" w:customStyle="1" w:styleId="cf01">
    <w:name w:val="cf01"/>
    <w:basedOn w:val="a0"/>
    <w:rsid w:val="009C6DE2"/>
    <w:rPr>
      <w:rFonts w:ascii="Segoe UI" w:hAnsi="Segoe UI" w:cs="Segoe UI" w:hint="default"/>
      <w:b/>
      <w:bCs/>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1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8389</Words>
  <Characters>4783</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Скляренко Олександр Сергійович</dc:creator>
  <cp:keywords/>
  <dc:description/>
  <cp:lastModifiedBy>Шульга Олександр Миколайович</cp:lastModifiedBy>
  <cp:revision>6</cp:revision>
  <cp:lastPrinted>2024-01-25T09:03:00Z</cp:lastPrinted>
  <dcterms:created xsi:type="dcterms:W3CDTF">2025-08-29T05:51:00Z</dcterms:created>
  <dcterms:modified xsi:type="dcterms:W3CDTF">2025-08-29T06:02:00Z</dcterms:modified>
</cp:coreProperties>
</file>